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kern w:val="44"/>
          <w:sz w:val="32"/>
          <w:szCs w:val="32"/>
        </w:rPr>
      </w:pPr>
      <w:bookmarkStart w:id="0" w:name="_GoBack"/>
      <w:bookmarkEnd w:id="0"/>
      <w:r>
        <w:rPr>
          <w:rFonts w:hint="eastAsia" w:ascii="黑体" w:hAnsi="黑体" w:eastAsia="黑体" w:cs="黑体"/>
          <w:bCs/>
          <w:kern w:val="44"/>
          <w:sz w:val="32"/>
          <w:szCs w:val="32"/>
        </w:rPr>
        <w:t>附件4</w:t>
      </w:r>
    </w:p>
    <w:p>
      <w:pPr>
        <w:overflowPunct w:val="0"/>
        <w:spacing w:line="560" w:lineRule="exact"/>
        <w:jc w:val="center"/>
        <w:rPr>
          <w:rFonts w:ascii="Times New Roman" w:hAnsi="Times New Roman" w:eastAsia="黑体"/>
          <w:bCs/>
          <w:kern w:val="44"/>
          <w:sz w:val="32"/>
          <w:szCs w:val="32"/>
        </w:rPr>
      </w:pPr>
    </w:p>
    <w:p>
      <w:pPr>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医疗器械临床评价立卷审查表</w:t>
      </w:r>
    </w:p>
    <w:p>
      <w:pPr>
        <w:jc w:val="center"/>
        <w:rPr>
          <w:rFonts w:ascii="Times New Roman" w:hAnsi="Times New Roman" w:eastAsia="方正小标宋简体"/>
          <w:sz w:val="44"/>
          <w:szCs w:val="44"/>
        </w:rPr>
      </w:pPr>
    </w:p>
    <w:p>
      <w:pPr>
        <w:overflowPunct w:val="0"/>
        <w:spacing w:line="560" w:lineRule="exact"/>
        <w:ind w:firstLine="640" w:firstLineChars="200"/>
        <w:rPr>
          <w:rFonts w:ascii="Times New Roman" w:hAnsi="Times New Roman" w:eastAsia="方正小标宋简体"/>
          <w:bCs/>
          <w:kern w:val="44"/>
          <w:sz w:val="32"/>
          <w:szCs w:val="32"/>
        </w:rPr>
      </w:pPr>
      <w:r>
        <w:rPr>
          <w:rFonts w:ascii="Times New Roman" w:hAnsi="Times New Roman" w:eastAsia="方正小标宋简体"/>
          <w:bCs/>
          <w:kern w:val="44"/>
          <w:sz w:val="32"/>
          <w:szCs w:val="32"/>
        </w:rPr>
        <w:t>使用说明：</w:t>
      </w:r>
    </w:p>
    <w:p>
      <w:pPr>
        <w:spacing w:line="54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1.本文件用于回答“医疗器械产品注册项目立卷审查要求”和“医疗器械变更注册项目立卷审查要求”中临床评价问题时使用。</w:t>
      </w:r>
    </w:p>
    <w:p>
      <w:pPr>
        <w:spacing w:line="54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2.依照注册申报资料情况对“临床评价情况”中内容进行勾选。</w:t>
      </w:r>
    </w:p>
    <w:p>
      <w:pPr>
        <w:spacing w:line="54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3.按照“临床评价情况”中勾选的情况，填写不同的表格,对于同时采用多条路径进行评价的，应对每条路径分别进行审核：</w:t>
      </w:r>
    </w:p>
    <w:p>
      <w:pPr>
        <w:spacing w:line="54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（1）通过同品种路径进行临床评价的，应填写《同品种路径立卷审查表》。</w:t>
      </w:r>
    </w:p>
    <w:p>
      <w:pPr>
        <w:spacing w:line="54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（2）通过临床试验路径进行临床评价的，应填写《临床试验路径立卷审查表》。</w:t>
      </w:r>
    </w:p>
    <w:p>
      <w:pPr>
        <w:spacing w:line="54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（3）根据各适用审查表的填写情况，给出临床评价立卷审查结论。</w:t>
      </w:r>
    </w:p>
    <w:p>
      <w:pPr>
        <w:spacing w:line="540" w:lineRule="exact"/>
        <w:ind w:firstLine="640" w:firstLineChars="200"/>
        <w:rPr>
          <w:rFonts w:ascii="Times New Roman" w:hAnsi="Times New Roman" w:eastAsia="黑体"/>
          <w:sz w:val="32"/>
          <w:szCs w:val="32"/>
        </w:rPr>
      </w:pPr>
      <w:r>
        <w:rPr>
          <w:rFonts w:ascii="Times New Roman" w:hAnsi="Times New Roman" w:eastAsia="仿宋_GB2312"/>
          <w:bCs/>
          <w:kern w:val="44"/>
          <w:sz w:val="32"/>
          <w:szCs w:val="32"/>
        </w:rPr>
        <w:t>4.立卷审查问题中临床试验相关问题，除有特殊说明外，均同时适用于境内、境外开展的临床试验资料。</w:t>
      </w: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sz w:val="32"/>
          <w:szCs w:val="32"/>
        </w:rPr>
        <w:br w:type="page"/>
      </w:r>
      <w:r>
        <w:rPr>
          <w:rFonts w:ascii="Times New Roman" w:hAnsi="Times New Roman" w:eastAsia="黑体"/>
          <w:bCs/>
          <w:kern w:val="44"/>
          <w:sz w:val="32"/>
          <w:szCs w:val="32"/>
        </w:rPr>
        <w:t>流水号：</w:t>
      </w: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产品名称：</w:t>
      </w: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申请人/注册人名称：</w:t>
      </w:r>
    </w:p>
    <w:p>
      <w:pPr>
        <w:widowControl/>
        <w:jc w:val="left"/>
        <w:rPr>
          <w:rFonts w:ascii="Times New Roman" w:hAnsi="Times New Roman" w:eastAsia="仿宋_GB2312"/>
          <w:bCs/>
          <w:kern w:val="44"/>
          <w:sz w:val="32"/>
          <w:szCs w:val="32"/>
        </w:rPr>
      </w:pPr>
    </w:p>
    <w:p>
      <w:pPr>
        <w:widowControl/>
        <w:ind w:firstLine="640" w:firstLineChars="200"/>
        <w:jc w:val="left"/>
        <w:rPr>
          <w:rFonts w:ascii="Times New Roman" w:hAnsi="Times New Roman" w:eastAsia="黑体"/>
          <w:sz w:val="32"/>
          <w:szCs w:val="32"/>
          <w:lang w:val="en"/>
        </w:rPr>
      </w:pPr>
      <w:r>
        <w:rPr>
          <w:rFonts w:ascii="Times New Roman" w:hAnsi="Times New Roman" w:eastAsia="黑体"/>
          <w:sz w:val="32"/>
          <w:szCs w:val="32"/>
        </w:rPr>
        <w:t>临床评价情况</w:t>
      </w:r>
      <w:r>
        <w:rPr>
          <w:rFonts w:ascii="Times New Roman" w:hAnsi="Times New Roman" w:eastAsia="黑体"/>
          <w:sz w:val="32"/>
          <w:szCs w:val="32"/>
          <w:lang w:val="en"/>
        </w:rPr>
        <w:t>：</w:t>
      </w:r>
    </w:p>
    <w:p>
      <w:pPr>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□同品种路径</w:t>
      </w:r>
      <w:r>
        <w:rPr>
          <w:rFonts w:ascii="Times New Roman" w:hAnsi="Times New Roman" w:eastAsia="黑体"/>
          <w:sz w:val="32"/>
          <w:szCs w:val="32"/>
        </w:rPr>
        <w:tab/>
      </w:r>
      <w:r>
        <w:rPr>
          <w:rFonts w:ascii="Times New Roman" w:hAnsi="Times New Roman" w:eastAsia="黑体"/>
          <w:sz w:val="32"/>
          <w:szCs w:val="32"/>
        </w:rPr>
        <w:tab/>
      </w:r>
      <w:r>
        <w:rPr>
          <w:rFonts w:ascii="Times New Roman" w:hAnsi="Times New Roman" w:eastAsia="黑体"/>
          <w:sz w:val="32"/>
          <w:szCs w:val="32"/>
        </w:rPr>
        <w:tab/>
      </w:r>
    </w:p>
    <w:p>
      <w:pPr>
        <w:ind w:firstLine="640" w:firstLineChars="200"/>
        <w:rPr>
          <w:rFonts w:ascii="Times New Roman" w:hAnsi="Times New Roman" w:eastAsia="黑体"/>
          <w:sz w:val="32"/>
          <w:szCs w:val="32"/>
        </w:rPr>
      </w:pPr>
      <w:r>
        <w:rPr>
          <w:rFonts w:ascii="Times New Roman" w:hAnsi="Times New Roman" w:eastAsia="黑体"/>
          <w:sz w:val="32"/>
          <w:szCs w:val="32"/>
        </w:rPr>
        <w:t>□临床试验路径</w:t>
      </w:r>
    </w:p>
    <w:p>
      <w:pPr>
        <w:ind w:left="420" w:firstLine="960" w:firstLineChars="300"/>
        <w:rPr>
          <w:rFonts w:ascii="Times New Roman" w:hAnsi="Times New Roman" w:eastAsia="黑体"/>
          <w:sz w:val="32"/>
          <w:szCs w:val="32"/>
        </w:rPr>
      </w:pPr>
      <w:r>
        <w:rPr>
          <w:rFonts w:ascii="Times New Roman" w:hAnsi="Times New Roman" w:eastAsia="黑体"/>
          <w:sz w:val="32"/>
          <w:szCs w:val="32"/>
        </w:rPr>
        <w:t>境内临床试验数据    □包含   □不包含</w:t>
      </w:r>
    </w:p>
    <w:p>
      <w:pPr>
        <w:ind w:left="420" w:firstLine="960" w:firstLineChars="300"/>
        <w:rPr>
          <w:rFonts w:ascii="Times New Roman" w:hAnsi="Times New Roman" w:eastAsia="黑体"/>
          <w:sz w:val="32"/>
          <w:szCs w:val="32"/>
        </w:rPr>
      </w:pPr>
      <w:r>
        <w:rPr>
          <w:rFonts w:ascii="Times New Roman" w:hAnsi="Times New Roman" w:eastAsia="黑体"/>
          <w:sz w:val="32"/>
          <w:szCs w:val="32"/>
        </w:rPr>
        <w:t>境外临床试验数据    □包含   □不包含</w:t>
      </w:r>
    </w:p>
    <w:p>
      <w:pPr>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临床评价立卷审查结论：</w:t>
      </w:r>
    </w:p>
    <w:p>
      <w:pPr>
        <w:widowControl/>
        <w:ind w:firstLine="1120" w:firstLineChars="350"/>
        <w:jc w:val="left"/>
        <w:rPr>
          <w:rFonts w:ascii="Times New Roman" w:hAnsi="Times New Roman" w:eastAsia="黑体"/>
          <w:bCs/>
          <w:spacing w:val="-2"/>
          <w:sz w:val="24"/>
          <w:u w:val="single"/>
        </w:rPr>
        <w:sectPr>
          <w:footerReference r:id="rId3" w:type="default"/>
          <w:pgSz w:w="11906" w:h="16838"/>
          <w:pgMar w:top="1928" w:right="1531" w:bottom="1814" w:left="1531" w:header="851" w:footer="1361" w:gutter="0"/>
          <w:pgNumType w:start="1"/>
          <w:cols w:space="720" w:num="1"/>
          <w:docGrid w:type="lines" w:linePitch="319" w:charSpace="0"/>
        </w:sectPr>
      </w:pPr>
      <w:r>
        <w:rPr>
          <w:rFonts w:ascii="Times New Roman" w:hAnsi="Times New Roman" w:eastAsia="黑体"/>
          <w:sz w:val="32"/>
          <w:szCs w:val="32"/>
        </w:rPr>
        <w:t>□通过           □不通过</w:t>
      </w:r>
    </w:p>
    <w:p>
      <w:pPr>
        <w:rPr>
          <w:rFonts w:ascii="Times New Roman" w:hAnsi="Times New Roman" w:eastAsia="黑体"/>
          <w:bCs/>
          <w:spacing w:val="-2"/>
          <w:sz w:val="24"/>
          <w:u w:val="single"/>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717"/>
        <w:gridCol w:w="5621"/>
        <w:gridCol w:w="556"/>
        <w:gridCol w:w="830"/>
        <w:gridCol w:w="556"/>
        <w:gridCol w:w="1104"/>
        <w:gridCol w:w="11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17" w:hRule="atLeast"/>
          <w:jc w:val="center"/>
        </w:trPr>
        <w:tc>
          <w:tcPr>
            <w:tcW w:w="10488" w:type="dxa"/>
            <w:gridSpan w:val="7"/>
            <w:shd w:val="clear" w:color="auto" w:fill="FFFFFF"/>
            <w:vAlign w:val="center"/>
          </w:tcPr>
          <w:p>
            <w:pPr>
              <w:jc w:val="center"/>
              <w:rPr>
                <w:rFonts w:ascii="Times New Roman" w:hAnsi="Times New Roman" w:eastAsia="黑体"/>
                <w:bCs/>
                <w:spacing w:val="-2"/>
                <w:sz w:val="24"/>
                <w:u w:val="thick"/>
              </w:rPr>
            </w:pPr>
            <w:r>
              <w:rPr>
                <w:rFonts w:ascii="Times New Roman" w:hAnsi="Times New Roman" w:eastAsia="黑体"/>
                <w:bCs/>
                <w:spacing w:val="-2"/>
                <w:sz w:val="24"/>
                <w:u w:val="thick"/>
              </w:rPr>
              <w:t>总体审查问题</w:t>
            </w:r>
          </w:p>
          <w:p>
            <w:pPr>
              <w:spacing w:before="159" w:beforeLines="50" w:after="159" w:afterLines="50"/>
              <w:jc w:val="left"/>
              <w:rPr>
                <w:rFonts w:ascii="Times New Roman" w:hAnsi="Times New Roman" w:eastAsia="黑体"/>
                <w:bCs/>
                <w:szCs w:val="21"/>
              </w:rPr>
            </w:pPr>
            <w:r>
              <w:rPr>
                <w:rFonts w:ascii="Times New Roman" w:hAnsi="Times New Roman" w:eastAsia="黑体"/>
                <w:bCs/>
                <w:szCs w:val="21"/>
              </w:rPr>
              <w:t>1.如果提交了相关资料则勾选“是”，如果不做要求则勾选“不适用”，如未能提供则勾选“否”。</w:t>
            </w:r>
          </w:p>
          <w:p>
            <w:pPr>
              <w:rPr>
                <w:rFonts w:ascii="Times New Roman" w:hAnsi="Times New Roman" w:eastAsia="黑体"/>
                <w:bCs/>
                <w:spacing w:val="-2"/>
                <w:sz w:val="24"/>
                <w:highlight w:val="lightGray"/>
                <w:u w:val="single"/>
              </w:rPr>
            </w:pPr>
            <w:r>
              <w:rPr>
                <w:rFonts w:ascii="Times New Roman" w:hAnsi="Times New Roman" w:eastAsia="黑体"/>
                <w:bCs/>
                <w:szCs w:val="21"/>
              </w:rPr>
              <w:t>2.对任何问题回答“</w:t>
            </w:r>
            <w:r>
              <w:rPr>
                <w:rFonts w:ascii="Times New Roman" w:hAnsi="Times New Roman" w:eastAsia="黑体"/>
                <w:szCs w:val="21"/>
              </w:rPr>
              <w:t>否</w:t>
            </w:r>
            <w:r>
              <w:rPr>
                <w:rFonts w:ascii="Times New Roman" w:hAnsi="Times New Roman" w:eastAsia="黑体"/>
                <w:bCs/>
                <w:szCs w:val="21"/>
              </w:rPr>
              <w:t>”都会导致做出“立卷审查不通过”的决定。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96" w:hRule="atLeast"/>
          <w:jc w:val="center"/>
        </w:trPr>
        <w:tc>
          <w:tcPr>
            <w:tcW w:w="717" w:type="dxa"/>
            <w:shd w:val="clear" w:color="auto" w:fill="FFFFFF"/>
            <w:vAlign w:val="center"/>
          </w:tcPr>
          <w:p>
            <w:pPr>
              <w:autoSpaceDE w:val="0"/>
              <w:autoSpaceDN w:val="0"/>
              <w:adjustRightInd w:val="0"/>
              <w:jc w:val="center"/>
              <w:rPr>
                <w:rFonts w:ascii="Times New Roman" w:hAnsi="Times New Roman" w:eastAsia="黑体"/>
                <w:bCs/>
                <w:szCs w:val="21"/>
              </w:rPr>
            </w:pPr>
            <w:r>
              <w:rPr>
                <w:rFonts w:ascii="Times New Roman" w:hAnsi="Times New Roman" w:eastAsia="黑体"/>
                <w:bCs/>
                <w:szCs w:val="21"/>
              </w:rPr>
              <w:t>序号</w:t>
            </w:r>
          </w:p>
        </w:tc>
        <w:tc>
          <w:tcPr>
            <w:tcW w:w="5621" w:type="dxa"/>
            <w:shd w:val="clear" w:color="auto" w:fill="FFFFFF"/>
            <w:tcMar>
              <w:top w:w="57" w:type="dxa"/>
              <w:left w:w="85" w:type="dxa"/>
              <w:bottom w:w="57" w:type="dxa"/>
              <w:right w:w="85" w:type="dxa"/>
            </w:tcMar>
            <w:vAlign w:val="center"/>
          </w:tcPr>
          <w:p>
            <w:pPr>
              <w:autoSpaceDE w:val="0"/>
              <w:autoSpaceDN w:val="0"/>
              <w:adjustRightInd w:val="0"/>
              <w:jc w:val="center"/>
              <w:rPr>
                <w:rFonts w:ascii="Times New Roman" w:hAnsi="Times New Roman" w:eastAsia="黑体"/>
                <w:bCs/>
                <w:szCs w:val="21"/>
              </w:rPr>
            </w:pPr>
            <w:r>
              <w:rPr>
                <w:rFonts w:ascii="Times New Roman" w:hAnsi="Times New Roman" w:eastAsia="黑体"/>
                <w:bCs/>
                <w:szCs w:val="21"/>
              </w:rPr>
              <w:t>立卷审查问题</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黑体"/>
                <w:bCs/>
                <w:spacing w:val="-3"/>
                <w:szCs w:val="21"/>
              </w:rPr>
            </w:pPr>
            <w:r>
              <w:rPr>
                <w:rFonts w:ascii="Times New Roman" w:hAnsi="Times New Roman" w:eastAsia="黑体"/>
                <w:bCs/>
                <w:szCs w:val="21"/>
              </w:rPr>
              <w:t>是</w:t>
            </w:r>
          </w:p>
        </w:tc>
        <w:tc>
          <w:tcPr>
            <w:tcW w:w="830" w:type="dxa"/>
            <w:shd w:val="clear" w:color="auto" w:fill="FFFFFF"/>
            <w:vAlign w:val="center"/>
          </w:tcPr>
          <w:p>
            <w:pPr>
              <w:jc w:val="center"/>
              <w:rPr>
                <w:rFonts w:ascii="Times New Roman" w:hAnsi="Times New Roman" w:eastAsia="黑体"/>
                <w:bCs/>
                <w:spacing w:val="-3"/>
                <w:szCs w:val="21"/>
              </w:rPr>
            </w:pPr>
            <w:r>
              <w:rPr>
                <w:rFonts w:ascii="Times New Roman" w:hAnsi="Times New Roman" w:eastAsia="黑体"/>
                <w:bCs/>
                <w:spacing w:val="-5"/>
                <w:szCs w:val="21"/>
              </w:rPr>
              <w:t>不适用</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黑体"/>
                <w:bCs/>
                <w:szCs w:val="21"/>
              </w:rPr>
            </w:pPr>
            <w:r>
              <w:rPr>
                <w:rFonts w:ascii="Times New Roman" w:hAnsi="Times New Roman" w:eastAsia="黑体"/>
                <w:bCs/>
                <w:szCs w:val="21"/>
              </w:rPr>
              <w:t>否</w:t>
            </w:r>
          </w:p>
        </w:tc>
        <w:tc>
          <w:tcPr>
            <w:tcW w:w="1104" w:type="dxa"/>
            <w:shd w:val="clear" w:color="auto" w:fill="FFFFFF"/>
            <w:vAlign w:val="center"/>
          </w:tcPr>
          <w:p>
            <w:pPr>
              <w:jc w:val="center"/>
              <w:rPr>
                <w:rFonts w:ascii="Times New Roman" w:hAnsi="Times New Roman" w:eastAsia="黑体"/>
                <w:bCs/>
                <w:szCs w:val="21"/>
              </w:rPr>
            </w:pPr>
            <w:r>
              <w:rPr>
                <w:rFonts w:ascii="Times New Roman" w:hAnsi="Times New Roman" w:eastAsia="黑体"/>
                <w:bCs/>
                <w:szCs w:val="21"/>
              </w:rPr>
              <w:t>备注</w:t>
            </w:r>
          </w:p>
        </w:tc>
        <w:tc>
          <w:tcPr>
            <w:tcW w:w="1104" w:type="dxa"/>
            <w:shd w:val="clear" w:color="auto" w:fill="FFFFFF"/>
            <w:vAlign w:val="center"/>
          </w:tcPr>
          <w:p>
            <w:pPr>
              <w:pStyle w:val="7"/>
              <w:adjustRightInd w:val="0"/>
              <w:snapToGrid w:val="0"/>
              <w:spacing w:before="47" w:beforeLines="15" w:line="276" w:lineRule="auto"/>
              <w:jc w:val="center"/>
              <w:rPr>
                <w:rFonts w:ascii="Times New Roman" w:hAnsi="Times New Roman" w:eastAsia="黑体"/>
                <w:color w:val="0070C0"/>
                <w:sz w:val="21"/>
                <w:szCs w:val="21"/>
                <w:highlight w:val="lightGray"/>
              </w:rPr>
            </w:pPr>
            <w:r>
              <w:rPr>
                <w:rFonts w:ascii="Times New Roman" w:hAnsi="Times New Roman" w:eastAsia="黑体"/>
                <w:bCs/>
                <w:kern w:val="2"/>
                <w:sz w:val="21"/>
                <w:szCs w:val="21"/>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426" w:hRule="atLeast"/>
          <w:jc w:val="center"/>
        </w:trPr>
        <w:tc>
          <w:tcPr>
            <w:tcW w:w="717"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t>1</w:t>
            </w:r>
          </w:p>
        </w:tc>
        <w:tc>
          <w:tcPr>
            <w:tcW w:w="5621"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是否提交了临床评价资料。</w:t>
            </w:r>
          </w:p>
          <w:p>
            <w:pPr>
              <w:pStyle w:val="7"/>
              <w:adjustRightInd w:val="0"/>
              <w:snapToGrid w:val="0"/>
              <w:spacing w:before="47" w:beforeLines="15" w:line="276" w:lineRule="auto"/>
              <w:jc w:val="both"/>
              <w:rPr>
                <w:rFonts w:ascii="Times New Roman" w:hAnsi="Times New Roman" w:eastAsia="仿宋_GB2312"/>
                <w:i/>
                <w:sz w:val="21"/>
                <w:szCs w:val="21"/>
              </w:rPr>
            </w:pPr>
          </w:p>
          <w:p>
            <w:pPr>
              <w:pStyle w:val="7"/>
              <w:adjustRightInd w:val="0"/>
              <w:snapToGrid w:val="0"/>
              <w:spacing w:before="47" w:beforeLines="15" w:line="276" w:lineRule="auto"/>
              <w:jc w:val="both"/>
              <w:rPr>
                <w:rFonts w:ascii="Times New Roman" w:hAnsi="Times New Roman" w:eastAsia="仿宋_GB2312"/>
                <w:i/>
                <w:sz w:val="21"/>
                <w:szCs w:val="21"/>
              </w:rPr>
            </w:pPr>
            <w:r>
              <w:rPr>
                <w:rFonts w:ascii="Times New Roman" w:hAnsi="Times New Roman" w:eastAsia="仿宋_GB2312"/>
                <w:i/>
                <w:sz w:val="21"/>
                <w:szCs w:val="21"/>
              </w:rPr>
              <w:t>注：若未提交，临床评价部分可直接给出“不通过”的结论，不必对剩余问题进行审查。</w:t>
            </w: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74" name="图片 6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图片 6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eastAsia="仿宋_GB2312"/>
                <w:b/>
                <w:sz w:val="21"/>
                <w:szCs w:val="21"/>
              </w:rPr>
            </w:pP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75" name="图片 6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图片 6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b/>
                <w:sz w:val="21"/>
                <w:szCs w:val="21"/>
              </w:rPr>
            </w:pPr>
          </w:p>
        </w:tc>
        <w:tc>
          <w:tcPr>
            <w:tcW w:w="1104" w:type="dxa"/>
            <w:shd w:val="clear" w:color="auto" w:fill="FFFFFF"/>
          </w:tcPr>
          <w:p>
            <w:pPr>
              <w:pStyle w:val="7"/>
              <w:adjustRightInd w:val="0"/>
              <w:snapToGrid w:val="0"/>
              <w:spacing w:before="47" w:beforeLines="15" w:line="276" w:lineRule="auto"/>
              <w:jc w:val="center"/>
              <w:rPr>
                <w:rFonts w:ascii="Times New Roman" w:hAnsi="Times New Roman" w:eastAsia="仿宋_GB2312"/>
                <w:b/>
                <w:color w:val="0070C0"/>
                <w:sz w:val="21"/>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258" w:hRule="atLeast"/>
          <w:jc w:val="center"/>
        </w:trPr>
        <w:tc>
          <w:tcPr>
            <w:tcW w:w="717"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t>2</w:t>
            </w:r>
          </w:p>
        </w:tc>
        <w:tc>
          <w:tcPr>
            <w:tcW w:w="5621"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临床评价资料中各项文件，均以中文形式提供，如为外文形式，提供了中文译本。根据外文资料翻译的申报资料，同时提供了原文。</w:t>
            </w: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676" name="图片 6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图片 6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eastAsia="仿宋_GB2312"/>
                <w:b/>
                <w:sz w:val="21"/>
                <w:szCs w:val="21"/>
              </w:rPr>
            </w:pP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677" name="图片 6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图片 6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b/>
                <w:sz w:val="21"/>
                <w:szCs w:val="21"/>
              </w:rPr>
            </w:pPr>
          </w:p>
        </w:tc>
        <w:tc>
          <w:tcPr>
            <w:tcW w:w="1104" w:type="dxa"/>
            <w:shd w:val="clear" w:color="auto" w:fill="FFFFFF"/>
          </w:tcPr>
          <w:p>
            <w:pPr>
              <w:pStyle w:val="7"/>
              <w:adjustRightInd w:val="0"/>
              <w:snapToGrid w:val="0"/>
              <w:spacing w:before="47" w:beforeLines="15" w:line="276" w:lineRule="auto"/>
              <w:jc w:val="center"/>
              <w:rPr>
                <w:rFonts w:ascii="Times New Roman" w:hAnsi="Times New Roman" w:eastAsia="仿宋_GB2312"/>
                <w:b/>
                <w:color w:val="0070C0"/>
                <w:sz w:val="21"/>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416" w:hRule="atLeast"/>
          <w:jc w:val="center"/>
        </w:trPr>
        <w:tc>
          <w:tcPr>
            <w:tcW w:w="717"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t>3</w:t>
            </w:r>
          </w:p>
        </w:tc>
        <w:tc>
          <w:tcPr>
            <w:tcW w:w="5621" w:type="dxa"/>
            <w:shd w:val="clear" w:color="auto" w:fill="FFFFFF"/>
            <w:tcMar>
              <w:top w:w="57" w:type="dxa"/>
              <w:left w:w="85" w:type="dxa"/>
              <w:bottom w:w="57" w:type="dxa"/>
              <w:right w:w="85" w:type="dxa"/>
            </w:tcMar>
            <w:vAlign w:val="center"/>
          </w:tcPr>
          <w:p>
            <w:pPr>
              <w:pStyle w:val="7"/>
              <w:snapToGrid w:val="0"/>
              <w:spacing w:before="47" w:beforeLines="15" w:line="276" w:lineRule="auto"/>
              <w:rPr>
                <w:rFonts w:ascii="Times New Roman" w:hAnsi="Times New Roman" w:eastAsia="仿宋_GB2312"/>
                <w:sz w:val="30"/>
                <w:szCs w:val="30"/>
              </w:rPr>
            </w:pPr>
            <w:r>
              <w:rPr>
                <w:rFonts w:ascii="Times New Roman" w:hAnsi="Times New Roman" w:eastAsia="仿宋_GB2312"/>
                <w:color w:val="000000"/>
                <w:sz w:val="21"/>
                <w:szCs w:val="21"/>
              </w:rPr>
              <w:t>进口产品临床评价资料如无特别说明，原文资料均应当由申请人签章，中文资料由代理人签章。原文资料“签章”是指：注册申请人的法定代表人或者负责人签名，或者签名并加盖组织机构印章；中文资料“签章”是指：代理人盖公章，或者其法定代表人、负责人签名并加盖公章。</w:t>
            </w:r>
          </w:p>
          <w:p>
            <w:pPr>
              <w:pStyle w:val="7"/>
              <w:adjustRightInd w:val="0"/>
              <w:snapToGrid w:val="0"/>
              <w:spacing w:before="47" w:beforeLines="15" w:line="276" w:lineRule="auto"/>
              <w:jc w:val="both"/>
              <w:rPr>
                <w:rFonts w:ascii="Times New Roman" w:hAnsi="Times New Roman" w:eastAsia="仿宋_GB2312"/>
                <w:i/>
                <w:iCs/>
                <w:color w:val="000000"/>
                <w:sz w:val="21"/>
                <w:szCs w:val="21"/>
              </w:rPr>
            </w:pPr>
          </w:p>
          <w:p>
            <w:pPr>
              <w:pStyle w:val="7"/>
              <w:adjustRightInd w:val="0"/>
              <w:snapToGrid w:val="0"/>
              <w:spacing w:before="47" w:beforeLines="15" w:line="276" w:lineRule="auto"/>
              <w:jc w:val="both"/>
              <w:rPr>
                <w:rFonts w:ascii="Times New Roman" w:hAnsi="Times New Roman" w:eastAsia="仿宋_GB2312"/>
                <w:color w:val="000000"/>
                <w:sz w:val="21"/>
                <w:szCs w:val="21"/>
              </w:rPr>
            </w:pPr>
            <w:r>
              <w:rPr>
                <w:rFonts w:ascii="Times New Roman" w:hAnsi="Times New Roman" w:eastAsia="仿宋_GB2312"/>
                <w:i/>
                <w:iCs/>
                <w:color w:val="000000"/>
                <w:sz w:val="21"/>
                <w:szCs w:val="21"/>
              </w:rPr>
              <w:t>注：进口产品的临床评价资料若只以中文形式提供，则应同时由申请人、代理人签章。</w:t>
            </w: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78" name="图片 6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图片 6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679" name="图片 6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图片 6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80" name="图片 6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图片 6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b/>
                <w:sz w:val="21"/>
                <w:szCs w:val="21"/>
              </w:rPr>
            </w:pPr>
          </w:p>
        </w:tc>
        <w:tc>
          <w:tcPr>
            <w:tcW w:w="1104" w:type="dxa"/>
            <w:shd w:val="clear" w:color="auto" w:fill="FFFFFF"/>
            <w:vAlign w:val="center"/>
          </w:tcPr>
          <w:p>
            <w:pPr>
              <w:overflowPunct w:val="0"/>
              <w:spacing w:line="300" w:lineRule="exact"/>
              <w:jc w:val="left"/>
              <w:rPr>
                <w:rFonts w:ascii="Times New Roman" w:hAnsi="Times New Roman" w:eastAsia="仿宋_GB2312"/>
                <w:color w:val="0070C0"/>
                <w:kern w:val="0"/>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724" w:hRule="atLeast"/>
          <w:jc w:val="center"/>
        </w:trPr>
        <w:tc>
          <w:tcPr>
            <w:tcW w:w="717"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t>4</w:t>
            </w:r>
          </w:p>
        </w:tc>
        <w:tc>
          <w:tcPr>
            <w:tcW w:w="5621" w:type="dxa"/>
            <w:shd w:val="clear" w:color="auto" w:fill="FFFFFF"/>
            <w:tcMar>
              <w:top w:w="57" w:type="dxa"/>
              <w:left w:w="85" w:type="dxa"/>
              <w:bottom w:w="57" w:type="dxa"/>
              <w:right w:w="85" w:type="dxa"/>
            </w:tcMar>
            <w:vAlign w:val="center"/>
          </w:tcPr>
          <w:p>
            <w:pPr>
              <w:pStyle w:val="7"/>
              <w:snapToGrid w:val="0"/>
              <w:spacing w:before="47" w:beforeLines="15" w:line="276" w:lineRule="auto"/>
              <w:rPr>
                <w:rFonts w:ascii="Times New Roman" w:hAnsi="Times New Roman" w:eastAsia="仿宋_GB2312"/>
                <w:strike/>
                <w:sz w:val="21"/>
                <w:szCs w:val="21"/>
              </w:rPr>
            </w:pPr>
            <w:r>
              <w:rPr>
                <w:rFonts w:ascii="Times New Roman" w:hAnsi="Times New Roman" w:eastAsia="仿宋_GB2312"/>
                <w:color w:val="000000"/>
                <w:sz w:val="21"/>
                <w:szCs w:val="21"/>
              </w:rPr>
              <w:t>临床评价报告中提交了产品描述和研发背景。</w:t>
            </w: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81" name="图片 6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图片 6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eastAsia="仿宋_GB2312"/>
                <w:b/>
                <w:sz w:val="21"/>
                <w:szCs w:val="21"/>
              </w:rPr>
            </w:pP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82" name="图片 6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图片 6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b/>
                <w:sz w:val="21"/>
                <w:szCs w:val="21"/>
              </w:rPr>
            </w:pPr>
          </w:p>
        </w:tc>
        <w:tc>
          <w:tcPr>
            <w:tcW w:w="1104" w:type="dxa"/>
            <w:shd w:val="clear" w:color="auto" w:fill="FFFFFF"/>
          </w:tcPr>
          <w:p>
            <w:pPr>
              <w:overflowPunct w:val="0"/>
              <w:spacing w:line="300" w:lineRule="exact"/>
              <w:rPr>
                <w:rFonts w:ascii="Times New Roman" w:hAnsi="Times New Roman" w:eastAsia="仿宋_GB2312"/>
                <w:bCs/>
                <w:color w:val="0070C0"/>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724" w:hRule="atLeast"/>
          <w:jc w:val="center"/>
        </w:trPr>
        <w:tc>
          <w:tcPr>
            <w:tcW w:w="717"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t>5</w:t>
            </w:r>
          </w:p>
        </w:tc>
        <w:tc>
          <w:tcPr>
            <w:tcW w:w="5621" w:type="dxa"/>
            <w:shd w:val="clear" w:color="auto" w:fill="FFFFFF"/>
            <w:tcMar>
              <w:top w:w="57" w:type="dxa"/>
              <w:left w:w="85" w:type="dxa"/>
              <w:bottom w:w="57" w:type="dxa"/>
              <w:right w:w="85" w:type="dxa"/>
            </w:tcMar>
            <w:vAlign w:val="center"/>
          </w:tcPr>
          <w:p>
            <w:pPr>
              <w:pStyle w:val="7"/>
              <w:spacing w:before="47" w:beforeLines="15" w:line="276" w:lineRule="auto"/>
              <w:rPr>
                <w:rFonts w:ascii="Times New Roman" w:hAnsi="Times New Roman" w:eastAsia="仿宋_GB2312"/>
                <w:color w:val="000000"/>
                <w:sz w:val="21"/>
                <w:szCs w:val="21"/>
              </w:rPr>
            </w:pPr>
            <w:r>
              <w:rPr>
                <w:rFonts w:ascii="Times New Roman" w:hAnsi="Times New Roman" w:eastAsia="仿宋_GB2312"/>
                <w:color w:val="000000"/>
                <w:sz w:val="21"/>
                <w:szCs w:val="21"/>
              </w:rPr>
              <w:t>若申报产品同时涉及“免于进行临床评价”与“临床评价”，上述两部分内容加起来是否覆盖了整个产品。</w:t>
            </w:r>
          </w:p>
          <w:p>
            <w:pPr>
              <w:pStyle w:val="7"/>
              <w:spacing w:before="47" w:beforeLines="15" w:line="276" w:lineRule="auto"/>
              <w:rPr>
                <w:rFonts w:ascii="Times New Roman" w:hAnsi="Times New Roman" w:eastAsia="仿宋_GB2312"/>
                <w:i/>
                <w:iCs/>
                <w:color w:val="000000"/>
                <w:sz w:val="21"/>
                <w:szCs w:val="21"/>
              </w:rPr>
            </w:pPr>
          </w:p>
          <w:p>
            <w:pPr>
              <w:pStyle w:val="7"/>
              <w:spacing w:before="47" w:beforeLines="15" w:line="276" w:lineRule="auto"/>
              <w:rPr>
                <w:rFonts w:ascii="Times New Roman" w:hAnsi="Times New Roman" w:eastAsia="仿宋_GB2312"/>
                <w:strike/>
                <w:sz w:val="21"/>
                <w:szCs w:val="21"/>
              </w:rPr>
            </w:pPr>
            <w:r>
              <w:rPr>
                <w:rFonts w:ascii="Times New Roman" w:hAnsi="Times New Roman" w:eastAsia="仿宋_GB2312"/>
                <w:i/>
                <w:iCs/>
                <w:color w:val="000000"/>
                <w:sz w:val="21"/>
                <w:szCs w:val="21"/>
              </w:rPr>
              <w:t>注</w:t>
            </w:r>
            <w:r>
              <w:rPr>
                <w:rFonts w:ascii="Times New Roman" w:hAnsi="Times New Roman" w:eastAsia="仿宋_GB2312"/>
                <w:i/>
                <w:iCs/>
                <w:color w:val="000000"/>
                <w:sz w:val="21"/>
                <w:szCs w:val="21"/>
                <w:lang w:val="en"/>
              </w:rPr>
              <w:t>：</w:t>
            </w:r>
            <w:r>
              <w:rPr>
                <w:rFonts w:ascii="Times New Roman" w:hAnsi="Times New Roman" w:eastAsia="仿宋_GB2312"/>
                <w:i/>
                <w:iCs/>
                <w:color w:val="000000"/>
                <w:sz w:val="21"/>
                <w:szCs w:val="21"/>
              </w:rPr>
              <w:t>若申报产品未包含“免于进行临床评价”的部分，应勾选不适用。</w:t>
            </w: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83" name="图片 6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图片 6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684" name="图片 6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图片 6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85" name="图片 6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图片 6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b/>
                <w:sz w:val="21"/>
                <w:szCs w:val="21"/>
              </w:rPr>
            </w:pPr>
          </w:p>
        </w:tc>
        <w:tc>
          <w:tcPr>
            <w:tcW w:w="1104" w:type="dxa"/>
            <w:shd w:val="clear" w:color="auto" w:fill="FFFFFF"/>
          </w:tcPr>
          <w:p>
            <w:pPr>
              <w:overflowPunct w:val="0"/>
              <w:spacing w:line="300" w:lineRule="exact"/>
              <w:rPr>
                <w:rFonts w:ascii="Times New Roman" w:hAnsi="Times New Roman" w:eastAsia="仿宋_GB2312"/>
                <w:bCs/>
                <w:color w:val="0070C0"/>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724" w:hRule="atLeast"/>
          <w:jc w:val="center"/>
        </w:trPr>
        <w:tc>
          <w:tcPr>
            <w:tcW w:w="717"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t>6</w:t>
            </w:r>
          </w:p>
        </w:tc>
        <w:tc>
          <w:tcPr>
            <w:tcW w:w="5621"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both"/>
              <w:rPr>
                <w:rFonts w:ascii="Times New Roman" w:hAnsi="Times New Roman" w:eastAsia="仿宋_GB2312"/>
                <w:strike/>
                <w:sz w:val="21"/>
                <w:szCs w:val="21"/>
              </w:rPr>
            </w:pPr>
            <w:r>
              <w:rPr>
                <w:rFonts w:ascii="Times New Roman" w:hAnsi="Times New Roman" w:eastAsia="仿宋_GB2312"/>
                <w:sz w:val="21"/>
                <w:szCs w:val="21"/>
              </w:rPr>
              <w:t>临床评价资料与注册申请表内容具有一致性。</w:t>
            </w: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86" name="图片 6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图片 68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eastAsia="仿宋_GB2312"/>
                <w:b/>
                <w:sz w:val="21"/>
                <w:szCs w:val="21"/>
              </w:rPr>
            </w:pP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87" name="图片 6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 name="图片 68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b/>
                <w:sz w:val="21"/>
                <w:szCs w:val="21"/>
              </w:rPr>
            </w:pPr>
          </w:p>
        </w:tc>
        <w:tc>
          <w:tcPr>
            <w:tcW w:w="1104" w:type="dxa"/>
            <w:shd w:val="clear" w:color="auto" w:fill="FFFFFF"/>
          </w:tcPr>
          <w:p>
            <w:pPr>
              <w:overflowPunct w:val="0"/>
              <w:spacing w:line="300" w:lineRule="exact"/>
              <w:rPr>
                <w:rFonts w:ascii="Times New Roman" w:hAnsi="Times New Roman" w:eastAsia="仿宋_GB2312"/>
                <w:bCs/>
                <w:color w:val="0070C0"/>
                <w:szCs w:val="21"/>
                <w:highlight w:val="lightGray"/>
              </w:rPr>
            </w:pPr>
          </w:p>
        </w:tc>
      </w:tr>
    </w:tbl>
    <w:p>
      <w:pPr>
        <w:widowControl/>
        <w:jc w:val="left"/>
        <w:rPr>
          <w:rFonts w:ascii="Times New Roman" w:hAnsi="Times New Roman" w:eastAsia="黑体"/>
          <w:b/>
          <w:szCs w:val="21"/>
        </w:rPr>
      </w:pPr>
    </w:p>
    <w:p>
      <w:pPr>
        <w:widowControl/>
        <w:rPr>
          <w:rFonts w:ascii="Times New Roman" w:hAnsi="Times New Roman" w:eastAsia="黑体"/>
          <w:bCs/>
          <w:spacing w:val="-3"/>
          <w:sz w:val="32"/>
          <w:szCs w:val="32"/>
        </w:rPr>
      </w:pPr>
    </w:p>
    <w:p>
      <w:pPr>
        <w:widowControl/>
        <w:jc w:val="center"/>
        <w:rPr>
          <w:rFonts w:ascii="Times New Roman" w:hAnsi="Times New Roman" w:eastAsia="黑体"/>
          <w:bCs/>
          <w:spacing w:val="-3"/>
          <w:sz w:val="32"/>
          <w:szCs w:val="32"/>
        </w:rPr>
      </w:pPr>
      <w:r>
        <w:rPr>
          <w:rFonts w:ascii="Times New Roman" w:hAnsi="Times New Roman" w:eastAsia="黑体"/>
          <w:bCs/>
          <w:spacing w:val="-3"/>
          <w:sz w:val="32"/>
          <w:szCs w:val="32"/>
        </w:rPr>
        <w:t>同品种路径立卷审查表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717"/>
        <w:gridCol w:w="5621"/>
        <w:gridCol w:w="556"/>
        <w:gridCol w:w="830"/>
        <w:gridCol w:w="556"/>
        <w:gridCol w:w="1104"/>
        <w:gridCol w:w="11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134" w:hRule="atLeast"/>
          <w:jc w:val="center"/>
        </w:trPr>
        <w:tc>
          <w:tcPr>
            <w:tcW w:w="10488" w:type="dxa"/>
            <w:gridSpan w:val="7"/>
            <w:shd w:val="clear" w:color="auto" w:fill="FFFFFF"/>
            <w:vAlign w:val="center"/>
          </w:tcPr>
          <w:p>
            <w:pPr>
              <w:overflowPunct w:val="0"/>
              <w:jc w:val="center"/>
              <w:rPr>
                <w:rFonts w:ascii="Times New Roman" w:hAnsi="Times New Roman" w:eastAsia="黑体"/>
                <w:bCs/>
                <w:kern w:val="0"/>
                <w:sz w:val="24"/>
                <w:u w:val="single"/>
              </w:rPr>
            </w:pPr>
            <w:r>
              <w:rPr>
                <w:rFonts w:ascii="Times New Roman" w:hAnsi="Times New Roman" w:eastAsia="黑体"/>
                <w:bCs/>
                <w:kern w:val="0"/>
                <w:sz w:val="24"/>
                <w:u w:val="thick"/>
              </w:rPr>
              <w:t>立卷审查问题</w:t>
            </w:r>
          </w:p>
          <w:p>
            <w:pPr>
              <w:spacing w:before="159" w:beforeLines="50" w:after="159" w:afterLines="50"/>
              <w:jc w:val="left"/>
              <w:rPr>
                <w:rFonts w:ascii="Times New Roman" w:hAnsi="Times New Roman" w:eastAsia="黑体"/>
                <w:bCs/>
                <w:szCs w:val="21"/>
              </w:rPr>
            </w:pPr>
            <w:r>
              <w:rPr>
                <w:rFonts w:ascii="Times New Roman" w:hAnsi="Times New Roman" w:eastAsia="黑体"/>
                <w:bCs/>
                <w:szCs w:val="21"/>
              </w:rPr>
              <w:t>1.如果提交了相关资料则勾选“是”，如果不做要求则勾选“不适用”，如未能提供则勾选“否”。</w:t>
            </w:r>
          </w:p>
          <w:p>
            <w:pPr>
              <w:overflowPunct w:val="0"/>
              <w:rPr>
                <w:rFonts w:ascii="Times New Roman" w:hAnsi="Times New Roman" w:eastAsia="黑体"/>
                <w:bCs/>
                <w:kern w:val="0"/>
                <w:sz w:val="24"/>
                <w:highlight w:val="lightGray"/>
                <w:u w:val="single"/>
              </w:rPr>
            </w:pPr>
            <w:r>
              <w:rPr>
                <w:rFonts w:ascii="Times New Roman" w:hAnsi="Times New Roman" w:eastAsia="黑体"/>
                <w:bCs/>
                <w:szCs w:val="21"/>
              </w:rPr>
              <w:t>2.对任何问题回答“否”都会导致做出“立卷审查不通过”的决定。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67" w:hRule="atLeast"/>
          <w:jc w:val="center"/>
        </w:trPr>
        <w:tc>
          <w:tcPr>
            <w:tcW w:w="717" w:type="dxa"/>
            <w:shd w:val="clear" w:color="auto" w:fill="FFFFFF"/>
            <w:vAlign w:val="center"/>
          </w:tcPr>
          <w:p>
            <w:pPr>
              <w:jc w:val="center"/>
              <w:rPr>
                <w:rFonts w:ascii="Times New Roman" w:hAnsi="Times New Roman" w:eastAsia="黑体"/>
                <w:szCs w:val="21"/>
              </w:rPr>
            </w:pPr>
            <w:r>
              <w:rPr>
                <w:rFonts w:ascii="Times New Roman" w:hAnsi="Times New Roman" w:eastAsia="黑体"/>
                <w:bCs/>
                <w:szCs w:val="21"/>
              </w:rPr>
              <w:t>序号</w:t>
            </w:r>
          </w:p>
        </w:tc>
        <w:tc>
          <w:tcPr>
            <w:tcW w:w="5621" w:type="dxa"/>
            <w:shd w:val="clear" w:color="auto" w:fill="FFFFFF"/>
            <w:vAlign w:val="center"/>
          </w:tcPr>
          <w:p>
            <w:pPr>
              <w:jc w:val="center"/>
              <w:rPr>
                <w:rFonts w:ascii="Times New Roman" w:hAnsi="Times New Roman" w:eastAsia="黑体"/>
                <w:szCs w:val="21"/>
              </w:rPr>
            </w:pPr>
            <w:r>
              <w:rPr>
                <w:rFonts w:ascii="Times New Roman" w:hAnsi="Times New Roman" w:eastAsia="黑体"/>
                <w:bCs/>
                <w:szCs w:val="21"/>
              </w:rPr>
              <w:t>立卷审查问题</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是</w:t>
            </w:r>
          </w:p>
        </w:tc>
        <w:tc>
          <w:tcPr>
            <w:tcW w:w="830" w:type="dxa"/>
            <w:shd w:val="clear" w:color="auto" w:fill="FFFFFF"/>
            <w:vAlign w:val="center"/>
          </w:tcPr>
          <w:p>
            <w:pPr>
              <w:jc w:val="center"/>
              <w:rPr>
                <w:rFonts w:ascii="Times New Roman" w:hAnsi="Times New Roman" w:eastAsia="黑体"/>
                <w:szCs w:val="21"/>
              </w:rPr>
            </w:pPr>
            <w:r>
              <w:rPr>
                <w:rFonts w:ascii="Times New Roman" w:hAnsi="Times New Roman" w:eastAsia="黑体"/>
                <w:bCs/>
                <w:szCs w:val="21"/>
              </w:rPr>
              <w:t>不适用</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否</w:t>
            </w:r>
          </w:p>
        </w:tc>
        <w:tc>
          <w:tcPr>
            <w:tcW w:w="1104" w:type="dxa"/>
            <w:shd w:val="clear" w:color="auto" w:fill="FFFFFF"/>
            <w:vAlign w:val="center"/>
          </w:tcPr>
          <w:p>
            <w:pPr>
              <w:jc w:val="center"/>
              <w:rPr>
                <w:rFonts w:ascii="Times New Roman" w:hAnsi="Times New Roman" w:eastAsia="黑体"/>
                <w:bCs/>
                <w:szCs w:val="21"/>
              </w:rPr>
            </w:pPr>
            <w:r>
              <w:rPr>
                <w:rFonts w:ascii="Times New Roman" w:hAnsi="Times New Roman" w:eastAsia="黑体"/>
                <w:bCs/>
                <w:szCs w:val="21"/>
              </w:rPr>
              <w:t>备注</w:t>
            </w:r>
          </w:p>
        </w:tc>
        <w:tc>
          <w:tcPr>
            <w:tcW w:w="1104" w:type="dxa"/>
            <w:shd w:val="clear" w:color="auto" w:fill="FFFFFF"/>
            <w:vAlign w:val="center"/>
          </w:tcPr>
          <w:p>
            <w:pPr>
              <w:pStyle w:val="7"/>
              <w:adjustRightInd w:val="0"/>
              <w:snapToGrid w:val="0"/>
              <w:spacing w:before="47" w:beforeLines="15" w:line="276" w:lineRule="auto"/>
              <w:jc w:val="center"/>
              <w:rPr>
                <w:rFonts w:ascii="Times New Roman" w:hAnsi="Times New Roman" w:eastAsia="黑体"/>
                <w:color w:val="0070C0"/>
                <w:sz w:val="21"/>
                <w:szCs w:val="21"/>
                <w:highlight w:val="lightGray"/>
              </w:rPr>
            </w:pPr>
            <w:r>
              <w:rPr>
                <w:rFonts w:ascii="Times New Roman" w:hAnsi="Times New Roman" w:eastAsia="黑体"/>
                <w:bCs/>
                <w:kern w:val="2"/>
                <w:sz w:val="21"/>
                <w:szCs w:val="21"/>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17" w:type="dxa"/>
            <w:shd w:val="clear" w:color="auto" w:fill="FFFFFF"/>
            <w:vAlign w:val="center"/>
          </w:tcPr>
          <w:p>
            <w:pPr>
              <w:overflowPunct w:val="0"/>
              <w:jc w:val="center"/>
              <w:rPr>
                <w:rFonts w:ascii="Times New Roman" w:hAnsi="Times New Roman" w:eastAsia="仿宋_GB2312"/>
                <w:kern w:val="0"/>
                <w:szCs w:val="21"/>
              </w:rPr>
            </w:pPr>
            <w:r>
              <w:rPr>
                <w:rFonts w:ascii="Times New Roman" w:hAnsi="Times New Roman" w:eastAsia="仿宋_GB2312"/>
                <w:kern w:val="0"/>
                <w:szCs w:val="21"/>
              </w:rPr>
              <w:t>1</w:t>
            </w:r>
          </w:p>
        </w:tc>
        <w:tc>
          <w:tcPr>
            <w:tcW w:w="5621" w:type="dxa"/>
            <w:shd w:val="clear" w:color="auto" w:fill="FFFFFF"/>
            <w:tcMar>
              <w:top w:w="57" w:type="dxa"/>
              <w:left w:w="85" w:type="dxa"/>
              <w:bottom w:w="57" w:type="dxa"/>
              <w:right w:w="85" w:type="dxa"/>
            </w:tcMar>
            <w:vAlign w:val="center"/>
          </w:tcPr>
          <w:p>
            <w:pPr>
              <w:overflowPunct w:val="0"/>
              <w:rPr>
                <w:rFonts w:ascii="Times New Roman" w:hAnsi="Times New Roman" w:eastAsia="仿宋_GB2312"/>
                <w:kern w:val="0"/>
                <w:szCs w:val="21"/>
              </w:rPr>
            </w:pPr>
            <w:r>
              <w:rPr>
                <w:rFonts w:ascii="Times New Roman" w:hAnsi="Times New Roman" w:eastAsia="仿宋_GB2312"/>
                <w:kern w:val="0"/>
                <w:szCs w:val="21"/>
              </w:rPr>
              <w:t>提交了“通过等同器械临床数据进行的临床评价报告”。</w:t>
            </w:r>
          </w:p>
          <w:p>
            <w:pPr>
              <w:overflowPunct w:val="0"/>
              <w:rPr>
                <w:rFonts w:ascii="Times New Roman" w:hAnsi="Times New Roman" w:eastAsia="仿宋_GB2312"/>
                <w:i/>
                <w:szCs w:val="21"/>
              </w:rPr>
            </w:pPr>
          </w:p>
          <w:p>
            <w:pPr>
              <w:overflowPunct w:val="0"/>
              <w:rPr>
                <w:rFonts w:ascii="Times New Roman" w:hAnsi="Times New Roman" w:eastAsia="仿宋_GB2312"/>
                <w:i/>
                <w:szCs w:val="21"/>
              </w:rPr>
            </w:pPr>
            <w:r>
              <w:rPr>
                <w:rFonts w:ascii="Times New Roman" w:hAnsi="Times New Roman" w:eastAsia="仿宋_GB2312"/>
                <w:i/>
                <w:szCs w:val="21"/>
              </w:rPr>
              <w:t>注：若回答为“否”，则第2~14项问题不需要回答。</w:t>
            </w:r>
          </w:p>
          <w:p>
            <w:pPr>
              <w:overflowPunct w:val="0"/>
              <w:rPr>
                <w:rFonts w:ascii="Times New Roman" w:hAnsi="Times New Roman" w:eastAsia="仿宋_GB2312"/>
                <w:i/>
                <w:szCs w:val="21"/>
              </w:rPr>
            </w:pPr>
            <w:r>
              <w:rPr>
                <w:rFonts w:ascii="Times New Roman" w:hAnsi="Times New Roman" w:eastAsia="仿宋_GB2312"/>
                <w:i/>
                <w:szCs w:val="21"/>
              </w:rPr>
              <w:t>若回答为“不适用”，则第2~9项问题不需要回答。</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104" w:type="dxa"/>
            <w:shd w:val="clear" w:color="auto" w:fill="FFFFFF"/>
          </w:tcPr>
          <w:p>
            <w:pPr>
              <w:jc w:val="center"/>
              <w:rPr>
                <w:rFonts w:ascii="Times New Roman" w:hAnsi="Times New Roman" w:eastAsia="仿宋_GB2312"/>
                <w:szCs w:val="21"/>
              </w:rPr>
            </w:pPr>
          </w:p>
        </w:tc>
        <w:tc>
          <w:tcPr>
            <w:tcW w:w="1104" w:type="dxa"/>
            <w:shd w:val="clear" w:color="auto" w:fill="FFFFFF"/>
            <w:vAlign w:val="center"/>
          </w:tcPr>
          <w:p>
            <w:pPr>
              <w:overflowPunct w:val="0"/>
              <w:spacing w:line="300" w:lineRule="exact"/>
              <w:rPr>
                <w:rFonts w:ascii="Times New Roman" w:hAnsi="Times New Roman" w:eastAsia="仿宋_GB2312"/>
                <w:color w:val="0070C0"/>
                <w:kern w:val="0"/>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48" w:hRule="atLeast"/>
          <w:jc w:val="center"/>
        </w:trPr>
        <w:tc>
          <w:tcPr>
            <w:tcW w:w="717" w:type="dxa"/>
            <w:shd w:val="clear" w:color="auto" w:fill="FFFFFF"/>
            <w:vAlign w:val="center"/>
          </w:tcPr>
          <w:p>
            <w:pPr>
              <w:overflowPunct w:val="0"/>
              <w:jc w:val="center"/>
              <w:rPr>
                <w:rFonts w:ascii="Times New Roman" w:hAnsi="Times New Roman" w:eastAsia="仿宋_GB2312"/>
                <w:kern w:val="0"/>
                <w:szCs w:val="21"/>
              </w:rPr>
            </w:pPr>
            <w:r>
              <w:rPr>
                <w:rFonts w:ascii="Times New Roman" w:hAnsi="Times New Roman" w:eastAsia="仿宋_GB2312"/>
                <w:szCs w:val="21"/>
              </w:rPr>
              <w:t>2</w:t>
            </w:r>
          </w:p>
        </w:tc>
        <w:tc>
          <w:tcPr>
            <w:tcW w:w="5621" w:type="dxa"/>
            <w:shd w:val="clear" w:color="auto" w:fill="FFFFFF"/>
            <w:tcMar>
              <w:top w:w="57" w:type="dxa"/>
              <w:left w:w="85" w:type="dxa"/>
              <w:bottom w:w="57" w:type="dxa"/>
              <w:right w:w="85" w:type="dxa"/>
            </w:tcMar>
            <w:vAlign w:val="center"/>
          </w:tcPr>
          <w:p>
            <w:pPr>
              <w:overflowPunct w:val="0"/>
              <w:rPr>
                <w:rFonts w:ascii="Times New Roman" w:hAnsi="Times New Roman" w:eastAsia="仿宋_GB2312"/>
                <w:kern w:val="0"/>
                <w:szCs w:val="21"/>
              </w:rPr>
            </w:pPr>
            <w:r>
              <w:rPr>
                <w:rFonts w:ascii="Times New Roman" w:hAnsi="Times New Roman" w:eastAsia="仿宋_GB2312"/>
                <w:kern w:val="0"/>
                <w:szCs w:val="21"/>
              </w:rPr>
              <w:t>所选等同器械已在境内获准注册。</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1104" w:type="dxa"/>
            <w:shd w:val="clear" w:color="auto" w:fill="FFFFFF"/>
          </w:tcPr>
          <w:p>
            <w:pPr>
              <w:jc w:val="center"/>
              <w:rPr>
                <w:rFonts w:ascii="Times New Roman" w:hAnsi="Times New Roman" w:eastAsia="仿宋_GB2312"/>
                <w:szCs w:val="21"/>
              </w:rPr>
            </w:pPr>
          </w:p>
        </w:tc>
        <w:tc>
          <w:tcPr>
            <w:tcW w:w="1104" w:type="dxa"/>
            <w:shd w:val="clear" w:color="auto" w:fill="FFFFFF"/>
          </w:tcPr>
          <w:p>
            <w:pPr>
              <w:jc w:val="center"/>
              <w:rPr>
                <w:rFonts w:ascii="Times New Roman" w:hAnsi="Times New Roman" w:eastAsia="仿宋_GB2312"/>
                <w:color w:val="0070C0"/>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26" w:hRule="atLeast"/>
          <w:jc w:val="center"/>
        </w:trPr>
        <w:tc>
          <w:tcPr>
            <w:tcW w:w="717" w:type="dxa"/>
            <w:shd w:val="clear" w:color="auto" w:fill="FFFFFF"/>
            <w:vAlign w:val="center"/>
          </w:tcPr>
          <w:p>
            <w:pPr>
              <w:jc w:val="center"/>
              <w:rPr>
                <w:rFonts w:ascii="Times New Roman" w:hAnsi="Times New Roman" w:eastAsia="仿宋_GB2312"/>
                <w:szCs w:val="21"/>
              </w:rPr>
            </w:pPr>
            <w:r>
              <w:rPr>
                <w:rFonts w:ascii="Times New Roman" w:hAnsi="Times New Roman" w:eastAsia="仿宋_GB2312"/>
                <w:szCs w:val="21"/>
              </w:rPr>
              <w:t>3</w:t>
            </w:r>
          </w:p>
        </w:tc>
        <w:tc>
          <w:tcPr>
            <w:tcW w:w="5621" w:type="dxa"/>
            <w:shd w:val="clear" w:color="auto" w:fill="FFFFFF"/>
            <w:tcMar>
              <w:top w:w="57" w:type="dxa"/>
              <w:left w:w="85" w:type="dxa"/>
              <w:bottom w:w="57" w:type="dxa"/>
              <w:right w:w="85" w:type="dxa"/>
            </w:tcMar>
            <w:vAlign w:val="center"/>
          </w:tcPr>
          <w:p>
            <w:pPr>
              <w:rPr>
                <w:rFonts w:ascii="Times New Roman" w:hAnsi="Times New Roman" w:eastAsia="仿宋_GB2312"/>
                <w:kern w:val="0"/>
                <w:szCs w:val="21"/>
              </w:rPr>
            </w:pPr>
            <w:r>
              <w:rPr>
                <w:rFonts w:ascii="Times New Roman" w:hAnsi="Times New Roman" w:eastAsia="仿宋_GB2312"/>
                <w:kern w:val="0"/>
                <w:szCs w:val="21"/>
              </w:rPr>
              <w:t>提供了等同器械的基本信息。</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104" w:type="dxa"/>
            <w:shd w:val="clear" w:color="auto" w:fill="FFFFFF"/>
          </w:tcPr>
          <w:p>
            <w:pPr>
              <w:jc w:val="center"/>
              <w:rPr>
                <w:rFonts w:ascii="Times New Roman" w:hAnsi="Times New Roman" w:eastAsia="仿宋_GB2312"/>
                <w:szCs w:val="21"/>
              </w:rPr>
            </w:pPr>
          </w:p>
        </w:tc>
        <w:tc>
          <w:tcPr>
            <w:tcW w:w="1104" w:type="dxa"/>
            <w:shd w:val="clear" w:color="auto" w:fill="FFFFFF"/>
            <w:vAlign w:val="center"/>
          </w:tcPr>
          <w:p>
            <w:pPr>
              <w:overflowPunct w:val="0"/>
              <w:spacing w:line="300" w:lineRule="exact"/>
              <w:rPr>
                <w:rFonts w:ascii="Times New Roman" w:hAnsi="Times New Roman" w:eastAsia="仿宋_GB2312"/>
                <w:color w:val="0070C0"/>
                <w:kern w:val="0"/>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933" w:hRule="atLeast"/>
          <w:jc w:val="center"/>
        </w:trPr>
        <w:tc>
          <w:tcPr>
            <w:tcW w:w="717" w:type="dxa"/>
            <w:shd w:val="clear" w:color="auto" w:fill="FFFFFF"/>
            <w:vAlign w:val="center"/>
          </w:tcPr>
          <w:p>
            <w:pPr>
              <w:jc w:val="center"/>
              <w:rPr>
                <w:rFonts w:ascii="Times New Roman" w:hAnsi="Times New Roman" w:eastAsia="仿宋_GB2312"/>
                <w:szCs w:val="21"/>
              </w:rPr>
            </w:pPr>
            <w:r>
              <w:rPr>
                <w:rFonts w:ascii="Times New Roman" w:hAnsi="Times New Roman" w:eastAsia="仿宋_GB2312"/>
                <w:szCs w:val="21"/>
              </w:rPr>
              <w:t>4</w:t>
            </w:r>
          </w:p>
        </w:tc>
        <w:tc>
          <w:tcPr>
            <w:tcW w:w="5621" w:type="dxa"/>
            <w:shd w:val="clear" w:color="auto" w:fill="FFFFFF"/>
            <w:tcMar>
              <w:top w:w="57" w:type="dxa"/>
              <w:left w:w="85" w:type="dxa"/>
              <w:bottom w:w="57" w:type="dxa"/>
              <w:right w:w="85" w:type="dxa"/>
            </w:tcMar>
          </w:tcPr>
          <w:p>
            <w:pPr>
              <w:rPr>
                <w:rFonts w:ascii="Times New Roman" w:hAnsi="Times New Roman" w:eastAsia="仿宋_GB2312"/>
                <w:kern w:val="0"/>
                <w:szCs w:val="21"/>
              </w:rPr>
            </w:pPr>
            <w:r>
              <w:rPr>
                <w:rFonts w:ascii="Times New Roman" w:hAnsi="Times New Roman" w:eastAsia="仿宋_GB2312"/>
                <w:kern w:val="0"/>
                <w:szCs w:val="21"/>
              </w:rPr>
              <w:t>所选等同器械与申报产品：</w:t>
            </w:r>
          </w:p>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88" name="图片 68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图片 68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 w:val="21"/>
                <w:szCs w:val="21"/>
              </w:rPr>
              <w:t>具有相同的适用范围；</w:t>
            </w:r>
          </w:p>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80975"/>
                  <wp:effectExtent l="0" t="0" r="0" b="9525"/>
                  <wp:docPr id="689" name="图片 68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 name="图片 68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 w:val="21"/>
                <w:szCs w:val="21"/>
              </w:rPr>
              <w:t>适用范围存在差异，但差异部分经论证后，可认为二者具有相同的适用范围。</w:t>
            </w:r>
          </w:p>
          <w:p>
            <w:pPr>
              <w:rPr>
                <w:rFonts w:ascii="Times New Roman" w:hAnsi="Times New Roman" w:eastAsia="仿宋_GB2312"/>
                <w:i/>
                <w:iCs/>
                <w:kern w:val="0"/>
                <w:szCs w:val="21"/>
              </w:rPr>
            </w:pPr>
          </w:p>
          <w:p>
            <w:pPr>
              <w:rPr>
                <w:rFonts w:ascii="Times New Roman" w:hAnsi="Times New Roman" w:eastAsia="仿宋_GB2312"/>
                <w:szCs w:val="21"/>
              </w:rPr>
            </w:pPr>
            <w:r>
              <w:rPr>
                <w:rFonts w:ascii="Times New Roman" w:hAnsi="Times New Roman" w:eastAsia="仿宋_GB2312"/>
                <w:i/>
                <w:iCs/>
                <w:kern w:val="0"/>
                <w:szCs w:val="21"/>
              </w:rPr>
              <w:t>注：以上有一条勾选，本项目应选择“是”</w:t>
            </w:r>
            <w:r>
              <w:rPr>
                <w:rFonts w:ascii="Times New Roman" w:hAnsi="Times New Roman" w:eastAsia="仿宋_GB2312"/>
                <w:kern w:val="0"/>
                <w:szCs w:val="21"/>
              </w:rPr>
              <w:t>。</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104" w:type="dxa"/>
            <w:shd w:val="clear" w:color="auto" w:fill="FFFFFF"/>
          </w:tcPr>
          <w:p>
            <w:pPr>
              <w:jc w:val="center"/>
              <w:rPr>
                <w:rFonts w:ascii="Times New Roman" w:hAnsi="Times New Roman" w:eastAsia="仿宋_GB2312"/>
                <w:szCs w:val="21"/>
              </w:rPr>
            </w:pPr>
          </w:p>
        </w:tc>
        <w:tc>
          <w:tcPr>
            <w:tcW w:w="1104" w:type="dxa"/>
            <w:shd w:val="clear" w:color="auto" w:fill="FFFFFF"/>
            <w:vAlign w:val="center"/>
          </w:tcPr>
          <w:p>
            <w:pPr>
              <w:overflowPunct w:val="0"/>
              <w:spacing w:line="300" w:lineRule="exact"/>
              <w:rPr>
                <w:rFonts w:ascii="Times New Roman" w:hAnsi="Times New Roman" w:eastAsia="仿宋_GB2312"/>
                <w:color w:val="0070C0"/>
                <w:kern w:val="0"/>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747" w:hRule="atLeast"/>
          <w:jc w:val="center"/>
        </w:trPr>
        <w:tc>
          <w:tcPr>
            <w:tcW w:w="717" w:type="dxa"/>
            <w:shd w:val="clear" w:color="auto" w:fill="FFFFFF"/>
            <w:vAlign w:val="center"/>
          </w:tcPr>
          <w:p>
            <w:pPr>
              <w:jc w:val="center"/>
              <w:rPr>
                <w:rFonts w:ascii="Times New Roman" w:hAnsi="Times New Roman" w:eastAsia="仿宋_GB2312"/>
                <w:szCs w:val="21"/>
              </w:rPr>
            </w:pPr>
            <w:r>
              <w:rPr>
                <w:rFonts w:ascii="Times New Roman" w:hAnsi="Times New Roman" w:eastAsia="仿宋_GB2312"/>
                <w:szCs w:val="21"/>
              </w:rPr>
              <w:t>5</w:t>
            </w:r>
          </w:p>
        </w:tc>
        <w:tc>
          <w:tcPr>
            <w:tcW w:w="5621" w:type="dxa"/>
            <w:shd w:val="clear" w:color="auto" w:fill="FFFFFF"/>
            <w:tcMar>
              <w:top w:w="57" w:type="dxa"/>
              <w:left w:w="85" w:type="dxa"/>
              <w:bottom w:w="57" w:type="dxa"/>
              <w:right w:w="85" w:type="dxa"/>
            </w:tcMar>
          </w:tcPr>
          <w:p>
            <w:pPr>
              <w:rPr>
                <w:rFonts w:ascii="Times New Roman" w:hAnsi="Times New Roman" w:eastAsia="仿宋_GB2312"/>
                <w:color w:val="000000"/>
                <w:szCs w:val="21"/>
              </w:rPr>
            </w:pPr>
            <w:r>
              <w:rPr>
                <w:rFonts w:ascii="Times New Roman" w:hAnsi="Times New Roman" w:eastAsia="仿宋_GB2312"/>
                <w:szCs w:val="21"/>
              </w:rPr>
              <w:t>根据申报产品与等同器械的具体情况，对技术特征和生物学特性进行了比对，并</w:t>
            </w:r>
            <w:r>
              <w:rPr>
                <w:rFonts w:ascii="Times New Roman" w:hAnsi="Times New Roman" w:eastAsia="仿宋_GB2312"/>
                <w:color w:val="000000"/>
                <w:szCs w:val="21"/>
              </w:rPr>
              <w:t>选择了适宜的对比项目。</w:t>
            </w:r>
          </w:p>
          <w:p>
            <w:pPr>
              <w:rPr>
                <w:rFonts w:ascii="Times New Roman" w:hAnsi="Times New Roman" w:eastAsia="仿宋_GB2312"/>
                <w:i/>
                <w:iCs/>
                <w:szCs w:val="21"/>
              </w:rPr>
            </w:pPr>
          </w:p>
          <w:p>
            <w:pPr>
              <w:rPr>
                <w:rFonts w:ascii="Times New Roman" w:hAnsi="Times New Roman" w:eastAsia="仿宋_GB2312"/>
                <w:color w:val="000000"/>
                <w:szCs w:val="21"/>
              </w:rPr>
            </w:pPr>
            <w:r>
              <w:rPr>
                <w:rFonts w:ascii="Times New Roman" w:hAnsi="Times New Roman" w:eastAsia="仿宋_GB2312"/>
                <w:i/>
                <w:iCs/>
                <w:szCs w:val="21"/>
              </w:rPr>
              <w:t>注：立卷环节仅对是否提交了适宜性的比对进行判断，不对适宜性项目的科学性、充分性进行立卷。</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104" w:type="dxa"/>
            <w:shd w:val="clear" w:color="auto" w:fill="FFFFFF"/>
          </w:tcPr>
          <w:p>
            <w:pPr>
              <w:jc w:val="center"/>
              <w:rPr>
                <w:rFonts w:ascii="Times New Roman" w:hAnsi="Times New Roman" w:eastAsia="仿宋_GB2312"/>
                <w:szCs w:val="21"/>
              </w:rPr>
            </w:pPr>
          </w:p>
        </w:tc>
        <w:tc>
          <w:tcPr>
            <w:tcW w:w="1104" w:type="dxa"/>
            <w:shd w:val="clear" w:color="auto" w:fill="FFFFFF"/>
            <w:vAlign w:val="center"/>
          </w:tcPr>
          <w:p>
            <w:pPr>
              <w:overflowPunct w:val="0"/>
              <w:spacing w:line="300" w:lineRule="exact"/>
              <w:rPr>
                <w:rFonts w:ascii="Times New Roman" w:hAnsi="Times New Roman" w:eastAsia="仿宋_GB2312"/>
                <w:color w:val="0070C0"/>
                <w:kern w:val="0"/>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14" w:hRule="atLeast"/>
          <w:jc w:val="center"/>
        </w:trPr>
        <w:tc>
          <w:tcPr>
            <w:tcW w:w="717" w:type="dxa"/>
            <w:shd w:val="clear" w:color="auto" w:fill="FFFFFF"/>
            <w:vAlign w:val="center"/>
          </w:tcPr>
          <w:p>
            <w:pPr>
              <w:jc w:val="center"/>
              <w:rPr>
                <w:rFonts w:ascii="Times New Roman" w:hAnsi="Times New Roman" w:eastAsia="仿宋_GB2312"/>
                <w:szCs w:val="21"/>
              </w:rPr>
            </w:pPr>
            <w:r>
              <w:rPr>
                <w:rFonts w:ascii="Times New Roman" w:hAnsi="Times New Roman" w:eastAsia="仿宋_GB2312"/>
                <w:szCs w:val="21"/>
              </w:rPr>
              <w:t>6</w:t>
            </w:r>
          </w:p>
        </w:tc>
        <w:tc>
          <w:tcPr>
            <w:tcW w:w="5621" w:type="dxa"/>
            <w:shd w:val="clear" w:color="auto" w:fill="FFFFFF"/>
            <w:tcMar>
              <w:top w:w="57" w:type="dxa"/>
              <w:left w:w="85" w:type="dxa"/>
              <w:bottom w:w="57" w:type="dxa"/>
              <w:right w:w="85" w:type="dxa"/>
            </w:tcMar>
            <w:vAlign w:val="center"/>
          </w:tcPr>
          <w:p>
            <w:pPr>
              <w:rPr>
                <w:rFonts w:ascii="Times New Roman" w:hAnsi="Times New Roman" w:eastAsia="仿宋_GB2312"/>
                <w:i/>
                <w:szCs w:val="21"/>
              </w:rPr>
            </w:pPr>
            <w:r>
              <w:rPr>
                <w:rFonts w:ascii="Times New Roman" w:hAnsi="Times New Roman" w:eastAsia="仿宋_GB2312"/>
                <w:color w:val="000000"/>
                <w:szCs w:val="21"/>
              </w:rPr>
              <w:t>对申报产品与</w:t>
            </w:r>
            <w:r>
              <w:rPr>
                <w:rFonts w:ascii="Times New Roman" w:hAnsi="Times New Roman" w:eastAsia="仿宋_GB2312"/>
                <w:szCs w:val="21"/>
              </w:rPr>
              <w:t>等同</w:t>
            </w:r>
            <w:r>
              <w:rPr>
                <w:rFonts w:ascii="Times New Roman" w:hAnsi="Times New Roman" w:eastAsia="仿宋_GB2312"/>
                <w:color w:val="000000"/>
                <w:szCs w:val="21"/>
              </w:rPr>
              <w:t>器械间的差异</w:t>
            </w:r>
            <w:r>
              <w:rPr>
                <w:rFonts w:ascii="Times New Roman" w:hAnsi="Times New Roman" w:eastAsia="仿宋_GB2312"/>
                <w:szCs w:val="21"/>
              </w:rPr>
              <w:t>性进行了</w:t>
            </w:r>
            <w:r>
              <w:rPr>
                <w:rFonts w:ascii="Times New Roman" w:hAnsi="Times New Roman" w:eastAsia="仿宋_GB2312"/>
                <w:color w:val="000000"/>
                <w:szCs w:val="21"/>
              </w:rPr>
              <w:t>识别并详细阐述。</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104" w:type="dxa"/>
            <w:shd w:val="clear" w:color="auto" w:fill="FFFFFF"/>
          </w:tcPr>
          <w:p>
            <w:pPr>
              <w:jc w:val="center"/>
              <w:rPr>
                <w:rFonts w:ascii="Times New Roman" w:hAnsi="Times New Roman" w:eastAsia="仿宋_GB2312"/>
                <w:szCs w:val="21"/>
              </w:rPr>
            </w:pPr>
          </w:p>
        </w:tc>
        <w:tc>
          <w:tcPr>
            <w:tcW w:w="1104" w:type="dxa"/>
            <w:shd w:val="clear" w:color="auto" w:fill="FFFFFF"/>
            <w:vAlign w:val="center"/>
          </w:tcPr>
          <w:p>
            <w:pPr>
              <w:overflowPunct w:val="0"/>
              <w:spacing w:line="300" w:lineRule="exact"/>
              <w:rPr>
                <w:rFonts w:ascii="Times New Roman" w:hAnsi="Times New Roman" w:eastAsia="仿宋_GB2312"/>
                <w:color w:val="0070C0"/>
                <w:kern w:val="0"/>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22" w:hRule="atLeast"/>
          <w:jc w:val="center"/>
        </w:trPr>
        <w:tc>
          <w:tcPr>
            <w:tcW w:w="717" w:type="dxa"/>
            <w:shd w:val="clear" w:color="auto" w:fill="FFFFFF"/>
            <w:vAlign w:val="center"/>
          </w:tcPr>
          <w:p>
            <w:pPr>
              <w:jc w:val="center"/>
              <w:rPr>
                <w:rFonts w:ascii="Times New Roman" w:hAnsi="Times New Roman" w:eastAsia="仿宋_GB2312"/>
                <w:szCs w:val="21"/>
              </w:rPr>
            </w:pPr>
            <w:r>
              <w:rPr>
                <w:rFonts w:ascii="Times New Roman" w:hAnsi="Times New Roman" w:eastAsia="仿宋_GB2312"/>
                <w:szCs w:val="21"/>
              </w:rPr>
              <w:t>7</w:t>
            </w:r>
          </w:p>
        </w:tc>
        <w:tc>
          <w:tcPr>
            <w:tcW w:w="5621" w:type="dxa"/>
            <w:shd w:val="clear" w:color="auto" w:fill="FFFFFF"/>
            <w:tcMar>
              <w:top w:w="57" w:type="dxa"/>
              <w:left w:w="85" w:type="dxa"/>
              <w:bottom w:w="57" w:type="dxa"/>
              <w:right w:w="85" w:type="dxa"/>
            </w:tcMar>
            <w:vAlign w:val="center"/>
          </w:tcPr>
          <w:p>
            <w:pPr>
              <w:overflowPunct w:val="0"/>
              <w:rPr>
                <w:rFonts w:ascii="Times New Roman" w:hAnsi="Times New Roman" w:eastAsia="仿宋_GB2312"/>
                <w:i/>
                <w:kern w:val="0"/>
                <w:szCs w:val="21"/>
              </w:rPr>
            </w:pPr>
            <w:r>
              <w:rPr>
                <w:rFonts w:ascii="Times New Roman" w:hAnsi="Times New Roman" w:eastAsia="仿宋_GB2312"/>
                <w:kern w:val="0"/>
                <w:szCs w:val="21"/>
              </w:rPr>
              <w:t>若申报产品与等同器械存在差异，分析了差异对安全有效性的影响。</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104" w:type="dxa"/>
            <w:shd w:val="clear" w:color="auto" w:fill="FFFFFF"/>
          </w:tcPr>
          <w:p>
            <w:pPr>
              <w:jc w:val="center"/>
              <w:rPr>
                <w:rFonts w:ascii="Times New Roman" w:hAnsi="Times New Roman" w:eastAsia="仿宋_GB2312"/>
                <w:szCs w:val="21"/>
              </w:rPr>
            </w:pPr>
          </w:p>
        </w:tc>
        <w:tc>
          <w:tcPr>
            <w:tcW w:w="1104" w:type="dxa"/>
            <w:shd w:val="clear" w:color="auto" w:fill="FFFFFF"/>
            <w:vAlign w:val="center"/>
          </w:tcPr>
          <w:p>
            <w:pPr>
              <w:overflowPunct w:val="0"/>
              <w:spacing w:line="300" w:lineRule="exact"/>
              <w:rPr>
                <w:rFonts w:ascii="Times New Roman" w:hAnsi="Times New Roman" w:eastAsia="仿宋_GB2312"/>
                <w:color w:val="0070C0"/>
                <w:kern w:val="0"/>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17" w:type="dxa"/>
            <w:shd w:val="clear" w:color="auto" w:fill="FFFFFF"/>
            <w:vAlign w:val="center"/>
          </w:tcPr>
          <w:p>
            <w:pPr>
              <w:overflowPunct w:val="0"/>
              <w:jc w:val="center"/>
              <w:rPr>
                <w:rFonts w:ascii="Times New Roman" w:hAnsi="Times New Roman" w:eastAsia="仿宋_GB2312"/>
                <w:szCs w:val="21"/>
              </w:rPr>
            </w:pPr>
            <w:r>
              <w:rPr>
                <w:rFonts w:ascii="Times New Roman" w:hAnsi="Times New Roman" w:eastAsia="仿宋_GB2312"/>
                <w:szCs w:val="21"/>
              </w:rPr>
              <w:t>8</w:t>
            </w:r>
          </w:p>
        </w:tc>
        <w:tc>
          <w:tcPr>
            <w:tcW w:w="5621" w:type="dxa"/>
            <w:shd w:val="clear" w:color="auto" w:fill="FFFFFF"/>
            <w:tcMar>
              <w:top w:w="57" w:type="dxa"/>
              <w:left w:w="85" w:type="dxa"/>
              <w:bottom w:w="57" w:type="dxa"/>
              <w:right w:w="85" w:type="dxa"/>
            </w:tcMar>
            <w:vAlign w:val="center"/>
          </w:tcPr>
          <w:p>
            <w:pPr>
              <w:overflowPunct w:val="0"/>
              <w:rPr>
                <w:rFonts w:ascii="Times New Roman" w:hAnsi="Times New Roman" w:eastAsia="仿宋_GB2312"/>
                <w:kern w:val="0"/>
                <w:szCs w:val="21"/>
              </w:rPr>
            </w:pPr>
            <w:r>
              <w:rPr>
                <w:rFonts w:ascii="Times New Roman" w:hAnsi="Times New Roman" w:eastAsia="仿宋_GB2312"/>
                <w:kern w:val="0"/>
                <w:szCs w:val="21"/>
              </w:rPr>
              <w:t>针对差异部分，提交了证明申报产品与等同器械具有相同安全有效性的科学证据。</w:t>
            </w:r>
          </w:p>
          <w:p>
            <w:pPr>
              <w:overflowPunct w:val="0"/>
              <w:rPr>
                <w:rFonts w:ascii="Times New Roman" w:hAnsi="Times New Roman" w:eastAsia="仿宋_GB2312"/>
                <w:i/>
                <w:iCs/>
                <w:kern w:val="0"/>
                <w:szCs w:val="21"/>
              </w:rPr>
            </w:pPr>
          </w:p>
          <w:p>
            <w:pPr>
              <w:overflowPunct w:val="0"/>
              <w:rPr>
                <w:rFonts w:ascii="Times New Roman" w:hAnsi="Times New Roman" w:eastAsia="仿宋_GB2312"/>
                <w:i/>
                <w:iCs/>
                <w:kern w:val="0"/>
                <w:szCs w:val="21"/>
              </w:rPr>
            </w:pPr>
            <w:r>
              <w:rPr>
                <w:rFonts w:ascii="Times New Roman" w:hAnsi="Times New Roman" w:eastAsia="仿宋_GB2312"/>
                <w:i/>
                <w:iCs/>
                <w:kern w:val="0"/>
                <w:szCs w:val="21"/>
              </w:rPr>
              <w:t>注：科学证据可包括可比器械临床数据或临床试验。</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104" w:type="dxa"/>
            <w:shd w:val="clear" w:color="auto" w:fill="FFFFFF"/>
          </w:tcPr>
          <w:p>
            <w:pPr>
              <w:jc w:val="center"/>
              <w:rPr>
                <w:rFonts w:ascii="Times New Roman" w:hAnsi="Times New Roman" w:eastAsia="仿宋_GB2312"/>
                <w:szCs w:val="21"/>
              </w:rPr>
            </w:pPr>
          </w:p>
        </w:tc>
        <w:tc>
          <w:tcPr>
            <w:tcW w:w="1104" w:type="dxa"/>
            <w:shd w:val="clear" w:color="auto" w:fill="FFFFFF"/>
          </w:tcPr>
          <w:p>
            <w:pPr>
              <w:overflowPunct w:val="0"/>
              <w:spacing w:line="300" w:lineRule="exact"/>
              <w:rPr>
                <w:rFonts w:ascii="Times New Roman" w:hAnsi="Times New Roman" w:eastAsia="仿宋_GB2312"/>
                <w:color w:val="0070C0"/>
                <w:kern w:val="0"/>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735" w:hRule="atLeast"/>
          <w:jc w:val="center"/>
        </w:trPr>
        <w:tc>
          <w:tcPr>
            <w:tcW w:w="717" w:type="dxa"/>
            <w:shd w:val="clear" w:color="auto" w:fill="FFFFFF"/>
            <w:vAlign w:val="center"/>
          </w:tcPr>
          <w:p>
            <w:pPr>
              <w:overflowPunct w:val="0"/>
              <w:jc w:val="center"/>
              <w:rPr>
                <w:rFonts w:ascii="Times New Roman" w:hAnsi="Times New Roman" w:eastAsia="仿宋_GB2312"/>
                <w:szCs w:val="21"/>
              </w:rPr>
            </w:pPr>
            <w:r>
              <w:rPr>
                <w:rFonts w:ascii="Times New Roman" w:hAnsi="Times New Roman" w:eastAsia="仿宋_GB2312"/>
                <w:szCs w:val="21"/>
              </w:rPr>
              <w:t>9</w:t>
            </w:r>
          </w:p>
        </w:tc>
        <w:tc>
          <w:tcPr>
            <w:tcW w:w="5621" w:type="dxa"/>
            <w:shd w:val="clear" w:color="auto" w:fill="FFFFFF"/>
            <w:tcMar>
              <w:top w:w="57" w:type="dxa"/>
              <w:left w:w="85" w:type="dxa"/>
              <w:bottom w:w="57" w:type="dxa"/>
              <w:right w:w="85" w:type="dxa"/>
            </w:tcMar>
            <w:vAlign w:val="center"/>
          </w:tcPr>
          <w:p>
            <w:pPr>
              <w:overflowPunct w:val="0"/>
              <w:rPr>
                <w:rFonts w:ascii="Times New Roman" w:hAnsi="Times New Roman" w:eastAsia="仿宋_GB2312"/>
                <w:kern w:val="0"/>
                <w:szCs w:val="21"/>
              </w:rPr>
            </w:pPr>
            <w:r>
              <w:rPr>
                <w:rFonts w:ascii="Times New Roman" w:hAnsi="Times New Roman" w:eastAsia="仿宋_GB2312"/>
                <w:kern w:val="0"/>
                <w:szCs w:val="21"/>
              </w:rPr>
              <w:t>提交了等同器械临床数据并进行了分析与评估。</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104" w:type="dxa"/>
            <w:shd w:val="clear" w:color="auto" w:fill="FFFFFF"/>
          </w:tcPr>
          <w:p>
            <w:pPr>
              <w:jc w:val="center"/>
              <w:rPr>
                <w:rFonts w:ascii="Times New Roman" w:hAnsi="Times New Roman" w:eastAsia="仿宋_GB2312"/>
                <w:szCs w:val="21"/>
              </w:rPr>
            </w:pPr>
          </w:p>
        </w:tc>
        <w:tc>
          <w:tcPr>
            <w:tcW w:w="1104" w:type="dxa"/>
            <w:shd w:val="clear" w:color="auto" w:fill="FFFFFF"/>
          </w:tcPr>
          <w:p>
            <w:pPr>
              <w:jc w:val="center"/>
              <w:rPr>
                <w:rFonts w:ascii="Times New Roman" w:hAnsi="Times New Roman" w:eastAsia="仿宋_GB2312"/>
                <w:color w:val="0070C0"/>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cantSplit/>
          <w:trHeight w:val="505" w:hRule="atLeast"/>
          <w:jc w:val="center"/>
        </w:trPr>
        <w:tc>
          <w:tcPr>
            <w:tcW w:w="717" w:type="dxa"/>
            <w:shd w:val="clear" w:color="auto" w:fill="FFFFFF"/>
            <w:vAlign w:val="center"/>
          </w:tcPr>
          <w:p>
            <w:pPr>
              <w:overflowPunct w:val="0"/>
              <w:jc w:val="center"/>
              <w:rPr>
                <w:rFonts w:ascii="Times New Roman" w:hAnsi="Times New Roman" w:eastAsia="仿宋_GB2312"/>
                <w:kern w:val="0"/>
                <w:szCs w:val="21"/>
              </w:rPr>
            </w:pPr>
            <w:r>
              <w:rPr>
                <w:rFonts w:ascii="Times New Roman" w:hAnsi="Times New Roman" w:eastAsia="仿宋_GB2312"/>
                <w:kern w:val="0"/>
                <w:szCs w:val="21"/>
              </w:rPr>
              <w:t>10</w:t>
            </w:r>
          </w:p>
        </w:tc>
        <w:tc>
          <w:tcPr>
            <w:tcW w:w="5621" w:type="dxa"/>
            <w:shd w:val="clear" w:color="auto" w:fill="FFFFFF"/>
            <w:tcMar>
              <w:top w:w="57" w:type="dxa"/>
              <w:left w:w="85" w:type="dxa"/>
              <w:bottom w:w="57" w:type="dxa"/>
              <w:right w:w="85" w:type="dxa"/>
            </w:tcMar>
            <w:vAlign w:val="center"/>
          </w:tcPr>
          <w:p>
            <w:pPr>
              <w:overflowPunct w:val="0"/>
              <w:rPr>
                <w:rFonts w:ascii="Times New Roman" w:hAnsi="Times New Roman" w:eastAsia="仿宋_GB2312"/>
                <w:iCs/>
                <w:color w:val="000000"/>
                <w:szCs w:val="21"/>
              </w:rPr>
            </w:pPr>
            <w:r>
              <w:rPr>
                <w:rFonts w:ascii="Times New Roman" w:hAnsi="Times New Roman" w:eastAsia="仿宋_GB2312"/>
                <w:iCs/>
                <w:color w:val="000000"/>
                <w:szCs w:val="21"/>
              </w:rPr>
              <w:t>提交了“可比器械的临床数据”用于支持申报产品的部分临床评价，作为申报产品临床证据的一部分且提交了其他临床评价路径进行的临床评价资料。</w:t>
            </w:r>
          </w:p>
          <w:p>
            <w:pPr>
              <w:overflowPunct w:val="0"/>
              <w:rPr>
                <w:rFonts w:ascii="Times New Roman" w:hAnsi="Times New Roman" w:eastAsia="仿宋_GB2312"/>
                <w:i/>
                <w:color w:val="000000"/>
                <w:szCs w:val="21"/>
              </w:rPr>
            </w:pPr>
          </w:p>
          <w:p>
            <w:r>
              <w:rPr>
                <w:rFonts w:ascii="Times New Roman" w:hAnsi="Times New Roman" w:eastAsia="仿宋_GB2312"/>
                <w:i/>
                <w:color w:val="000000"/>
                <w:szCs w:val="21"/>
              </w:rPr>
              <w:t>注：若申请人未提交可比器械的临床数据，该项回答为“不适用”，则第11-13项问题不需要回答。</w:t>
            </w:r>
          </w:p>
          <w:p>
            <w:pPr>
              <w:overflowPunct w:val="0"/>
              <w:rPr>
                <w:rFonts w:ascii="Times New Roman" w:hAnsi="Times New Roman" w:eastAsia="仿宋_GB2312"/>
                <w:i/>
                <w:color w:val="000000"/>
                <w:kern w:val="0"/>
                <w:szCs w:val="21"/>
              </w:rPr>
            </w:pP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color w:val="000000"/>
                <w:szCs w:val="21"/>
              </w:rPr>
            </w:pPr>
            <w:r>
              <w:rPr>
                <w:rFonts w:ascii="Times New Roman" w:hAnsi="Times New Roman" w:eastAsia="仿宋_GB2312"/>
                <w:color w:val="000000"/>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color w:val="000000"/>
                <w:szCs w:val="21"/>
              </w:rPr>
            </w:pPr>
            <w:r>
              <w:rPr>
                <w:rFonts w:ascii="Times New Roman" w:hAnsi="Times New Roman" w:eastAsia="仿宋_GB2312"/>
                <w:color w:val="000000"/>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1104" w:type="dxa"/>
            <w:shd w:val="clear" w:color="auto" w:fill="FFFFFF"/>
          </w:tcPr>
          <w:p>
            <w:pPr>
              <w:jc w:val="center"/>
              <w:rPr>
                <w:rFonts w:ascii="Times New Roman" w:hAnsi="Times New Roman" w:eastAsia="仿宋_GB2312"/>
                <w:szCs w:val="21"/>
              </w:rPr>
            </w:pPr>
          </w:p>
        </w:tc>
        <w:tc>
          <w:tcPr>
            <w:tcW w:w="1104" w:type="dxa"/>
            <w:shd w:val="clear" w:color="auto" w:fill="FFFFFF"/>
          </w:tcPr>
          <w:p>
            <w:pPr>
              <w:jc w:val="center"/>
              <w:rPr>
                <w:rFonts w:ascii="Times New Roman" w:hAnsi="Times New Roman" w:eastAsia="仿宋_GB2312"/>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21" w:hRule="atLeast"/>
          <w:jc w:val="center"/>
        </w:trPr>
        <w:tc>
          <w:tcPr>
            <w:tcW w:w="717"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11</w:t>
            </w:r>
          </w:p>
        </w:tc>
        <w:tc>
          <w:tcPr>
            <w:tcW w:w="5621" w:type="dxa"/>
            <w:shd w:val="clear" w:color="auto" w:fill="FFFFFF"/>
            <w:tcMar>
              <w:top w:w="57" w:type="dxa"/>
              <w:left w:w="85" w:type="dxa"/>
              <w:bottom w:w="57" w:type="dxa"/>
              <w:right w:w="85" w:type="dxa"/>
            </w:tcMar>
            <w:vAlign w:val="center"/>
          </w:tcPr>
          <w:p>
            <w:pPr>
              <w:overflowPunct w:val="0"/>
              <w:jc w:val="left"/>
              <w:rPr>
                <w:rFonts w:ascii="Times New Roman" w:hAnsi="Times New Roman" w:eastAsia="仿宋_GB2312"/>
                <w:i/>
                <w:color w:val="000000"/>
                <w:szCs w:val="21"/>
              </w:rPr>
            </w:pPr>
            <w:r>
              <w:rPr>
                <w:rFonts w:ascii="Times New Roman" w:hAnsi="Times New Roman" w:eastAsia="仿宋_GB2312"/>
                <w:iCs/>
                <w:color w:val="000000"/>
                <w:szCs w:val="21"/>
              </w:rPr>
              <w:t>可比器械在境内获准注册。</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1104" w:type="dxa"/>
            <w:shd w:val="clear" w:color="auto" w:fill="FFFFFF"/>
          </w:tcPr>
          <w:p>
            <w:pPr>
              <w:jc w:val="center"/>
              <w:rPr>
                <w:rFonts w:ascii="Times New Roman" w:hAnsi="Times New Roman" w:eastAsia="仿宋_GB2312"/>
                <w:color w:val="0000FF"/>
                <w:szCs w:val="21"/>
              </w:rPr>
            </w:pPr>
          </w:p>
        </w:tc>
        <w:tc>
          <w:tcPr>
            <w:tcW w:w="1104" w:type="dxa"/>
            <w:shd w:val="clear" w:color="auto" w:fill="FFFFFF"/>
          </w:tcPr>
          <w:p>
            <w:pPr>
              <w:jc w:val="center"/>
              <w:rPr>
                <w:rFonts w:ascii="Times New Roman" w:hAnsi="Times New Roman" w:eastAsia="仿宋_GB2312"/>
                <w:color w:val="0000FF"/>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5" w:hRule="atLeast"/>
          <w:jc w:val="center"/>
        </w:trPr>
        <w:tc>
          <w:tcPr>
            <w:tcW w:w="717"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12</w:t>
            </w:r>
          </w:p>
        </w:tc>
        <w:tc>
          <w:tcPr>
            <w:tcW w:w="5621" w:type="dxa"/>
            <w:shd w:val="clear" w:color="auto" w:fill="FFFFFF"/>
            <w:tcMar>
              <w:top w:w="57" w:type="dxa"/>
              <w:left w:w="85" w:type="dxa"/>
              <w:bottom w:w="57" w:type="dxa"/>
              <w:right w:w="85" w:type="dxa"/>
            </w:tcMar>
            <w:vAlign w:val="center"/>
          </w:tcPr>
          <w:p>
            <w:pPr>
              <w:jc w:val="left"/>
              <w:rPr>
                <w:rFonts w:ascii="Times New Roman" w:hAnsi="Times New Roman" w:eastAsia="仿宋_GB2312"/>
                <w:iCs/>
                <w:color w:val="000000"/>
                <w:kern w:val="0"/>
                <w:szCs w:val="21"/>
              </w:rPr>
            </w:pPr>
            <w:r>
              <w:rPr>
                <w:rFonts w:ascii="Times New Roman" w:hAnsi="Times New Roman" w:eastAsia="仿宋_GB2312"/>
                <w:color w:val="000000"/>
                <w:szCs w:val="21"/>
              </w:rPr>
              <w:t>申报产品与可比器械根据产品的具体情况，对技术特征和生物学特性进行了比对，详细阐述申报器械与可比器械在适用范围、技术特征和生物学特性方面的相同性和差异性。</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1104" w:type="dxa"/>
            <w:shd w:val="clear" w:color="auto" w:fill="FFFFFF"/>
          </w:tcPr>
          <w:p>
            <w:pPr>
              <w:jc w:val="center"/>
              <w:rPr>
                <w:rFonts w:ascii="Times New Roman" w:hAnsi="Times New Roman" w:eastAsia="仿宋_GB2312"/>
                <w:color w:val="0000FF"/>
                <w:szCs w:val="21"/>
              </w:rPr>
            </w:pPr>
          </w:p>
        </w:tc>
        <w:tc>
          <w:tcPr>
            <w:tcW w:w="1104" w:type="dxa"/>
            <w:shd w:val="clear" w:color="auto" w:fill="FFFFFF"/>
          </w:tcPr>
          <w:p>
            <w:pPr>
              <w:jc w:val="center"/>
              <w:rPr>
                <w:rFonts w:ascii="Times New Roman" w:hAnsi="Times New Roman" w:eastAsia="仿宋_GB2312"/>
                <w:color w:val="0000FF"/>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0" w:hRule="atLeast"/>
          <w:jc w:val="center"/>
        </w:trPr>
        <w:tc>
          <w:tcPr>
            <w:tcW w:w="717"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13</w:t>
            </w:r>
          </w:p>
        </w:tc>
        <w:tc>
          <w:tcPr>
            <w:tcW w:w="5621" w:type="dxa"/>
            <w:shd w:val="clear" w:color="auto" w:fill="FFFFFF"/>
            <w:tcMar>
              <w:top w:w="57" w:type="dxa"/>
              <w:left w:w="85" w:type="dxa"/>
              <w:bottom w:w="57" w:type="dxa"/>
              <w:right w:w="85" w:type="dxa"/>
            </w:tcMar>
            <w:vAlign w:val="center"/>
          </w:tcPr>
          <w:p>
            <w:pPr>
              <w:overflowPunct w:val="0"/>
              <w:rPr>
                <w:rFonts w:ascii="Times New Roman" w:hAnsi="Times New Roman" w:eastAsia="仿宋_GB2312"/>
                <w:i/>
                <w:color w:val="000000"/>
                <w:szCs w:val="21"/>
              </w:rPr>
            </w:pPr>
            <w:r>
              <w:rPr>
                <w:rFonts w:ascii="Times New Roman" w:hAnsi="Times New Roman" w:eastAsia="仿宋_GB2312"/>
                <w:iCs/>
                <w:color w:val="000000"/>
                <w:kern w:val="0"/>
                <w:szCs w:val="21"/>
              </w:rPr>
              <w:t>提交了可比器械临床数据</w:t>
            </w:r>
            <w:r>
              <w:rPr>
                <w:rFonts w:ascii="Times New Roman" w:hAnsi="Times New Roman" w:eastAsia="仿宋_GB2312"/>
                <w:color w:val="000000"/>
                <w:kern w:val="0"/>
                <w:szCs w:val="21"/>
              </w:rPr>
              <w:t>并进行了</w:t>
            </w:r>
            <w:r>
              <w:rPr>
                <w:rFonts w:ascii="Times New Roman" w:hAnsi="Times New Roman" w:eastAsia="仿宋_GB2312"/>
                <w:iCs/>
                <w:color w:val="000000"/>
                <w:kern w:val="0"/>
                <w:szCs w:val="21"/>
              </w:rPr>
              <w:t>分析与评估。</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1104" w:type="dxa"/>
            <w:shd w:val="clear" w:color="auto" w:fill="FFFFFF"/>
          </w:tcPr>
          <w:p>
            <w:pPr>
              <w:jc w:val="center"/>
              <w:rPr>
                <w:rFonts w:ascii="Times New Roman" w:hAnsi="Times New Roman" w:eastAsia="仿宋_GB2312"/>
                <w:color w:val="0000FF"/>
                <w:szCs w:val="21"/>
              </w:rPr>
            </w:pPr>
          </w:p>
        </w:tc>
        <w:tc>
          <w:tcPr>
            <w:tcW w:w="1104" w:type="dxa"/>
            <w:shd w:val="clear" w:color="auto" w:fill="FFFFFF"/>
          </w:tcPr>
          <w:p>
            <w:pPr>
              <w:jc w:val="center"/>
              <w:rPr>
                <w:rFonts w:ascii="Times New Roman" w:hAnsi="Times New Roman" w:eastAsia="仿宋_GB2312"/>
                <w:color w:val="0000FF"/>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092" w:hRule="atLeast"/>
          <w:jc w:val="center"/>
        </w:trPr>
        <w:tc>
          <w:tcPr>
            <w:tcW w:w="717" w:type="dxa"/>
            <w:shd w:val="clear" w:color="auto" w:fill="FFFFFF"/>
            <w:vAlign w:val="center"/>
          </w:tcPr>
          <w:p>
            <w:pPr>
              <w:overflowPunct w:val="0"/>
              <w:jc w:val="center"/>
              <w:rPr>
                <w:rFonts w:ascii="Times New Roman" w:hAnsi="Times New Roman" w:eastAsia="仿宋_GB2312"/>
                <w:kern w:val="0"/>
                <w:szCs w:val="21"/>
              </w:rPr>
            </w:pPr>
            <w:r>
              <w:rPr>
                <w:rFonts w:ascii="Times New Roman" w:hAnsi="Times New Roman" w:eastAsia="仿宋_GB2312"/>
                <w:kern w:val="0"/>
                <w:szCs w:val="21"/>
              </w:rPr>
              <w:t>14</w:t>
            </w:r>
          </w:p>
        </w:tc>
        <w:tc>
          <w:tcPr>
            <w:tcW w:w="5621" w:type="dxa"/>
            <w:shd w:val="clear" w:color="auto" w:fill="FFFFFF"/>
            <w:tcMar>
              <w:top w:w="57" w:type="dxa"/>
              <w:left w:w="85" w:type="dxa"/>
              <w:bottom w:w="57" w:type="dxa"/>
              <w:right w:w="85" w:type="dxa"/>
            </w:tcMar>
            <w:vAlign w:val="center"/>
          </w:tcPr>
          <w:p>
            <w:pPr>
              <w:overflowPunct w:val="0"/>
              <w:rPr>
                <w:rFonts w:ascii="Times New Roman" w:hAnsi="Times New Roman" w:eastAsia="仿宋_GB2312"/>
                <w:sz w:val="32"/>
                <w:szCs w:val="32"/>
              </w:rPr>
            </w:pPr>
            <w:r>
              <w:rPr>
                <w:rFonts w:ascii="Times New Roman" w:hAnsi="Times New Roman" w:eastAsia="仿宋_GB2312"/>
                <w:kern w:val="0"/>
                <w:szCs w:val="21"/>
              </w:rPr>
              <w:t>明确了同品种数据的来源，其中非公开数据为合法获得，涉及授权的资料提交了相关授权文件</w:t>
            </w:r>
            <w:r>
              <w:rPr>
                <w:rFonts w:ascii="Times New Roman" w:hAnsi="Times New Roman" w:eastAsia="仿宋_GB2312"/>
                <w:szCs w:val="21"/>
              </w:rPr>
              <w:t>。</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104" w:type="dxa"/>
            <w:shd w:val="clear" w:color="auto" w:fill="FFFFFF"/>
          </w:tcPr>
          <w:p>
            <w:pPr>
              <w:jc w:val="center"/>
              <w:rPr>
                <w:rFonts w:ascii="Times New Roman" w:hAnsi="Times New Roman" w:eastAsia="仿宋_GB2312"/>
                <w:szCs w:val="21"/>
              </w:rPr>
            </w:pPr>
          </w:p>
        </w:tc>
        <w:tc>
          <w:tcPr>
            <w:tcW w:w="1104" w:type="dxa"/>
            <w:shd w:val="clear" w:color="auto" w:fill="FFFFFF"/>
          </w:tcPr>
          <w:p>
            <w:pPr>
              <w:jc w:val="center"/>
              <w:rPr>
                <w:rFonts w:ascii="Times New Roman" w:hAnsi="Times New Roman" w:eastAsia="仿宋_GB2312"/>
                <w:szCs w:val="21"/>
                <w:highlight w:val="lightGray"/>
              </w:rPr>
            </w:pPr>
          </w:p>
        </w:tc>
      </w:tr>
    </w:tbl>
    <w:p>
      <w:pPr>
        <w:widowControl/>
        <w:jc w:val="left"/>
        <w:rPr>
          <w:rFonts w:ascii="Times New Roman" w:hAnsi="Times New Roman" w:eastAsia="仿宋_GB2312"/>
          <w:szCs w:val="21"/>
        </w:rPr>
      </w:pPr>
    </w:p>
    <w:p>
      <w:pPr>
        <w:widowControl/>
        <w:jc w:val="center"/>
        <w:rPr>
          <w:rFonts w:ascii="Times New Roman" w:hAnsi="Times New Roman" w:eastAsia="黑体"/>
          <w:bCs/>
          <w:spacing w:val="-3"/>
          <w:sz w:val="32"/>
          <w:szCs w:val="32"/>
        </w:rPr>
      </w:pPr>
      <w:r>
        <w:rPr>
          <w:rFonts w:ascii="Times New Roman" w:hAnsi="Times New Roman"/>
        </w:rPr>
        <w:br w:type="page"/>
      </w:r>
      <w:r>
        <w:rPr>
          <w:rFonts w:ascii="Times New Roman" w:hAnsi="Times New Roman" w:eastAsia="黑体"/>
          <w:bCs/>
          <w:spacing w:val="-3"/>
          <w:sz w:val="32"/>
          <w:szCs w:val="32"/>
        </w:rPr>
        <w:t>临床试验路径立卷审查表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658"/>
        <w:gridCol w:w="530"/>
        <w:gridCol w:w="382"/>
        <w:gridCol w:w="4627"/>
        <w:gridCol w:w="616"/>
        <w:gridCol w:w="843"/>
        <w:gridCol w:w="634"/>
        <w:gridCol w:w="1073"/>
        <w:gridCol w:w="11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134" w:hRule="atLeast"/>
          <w:jc w:val="center"/>
        </w:trPr>
        <w:tc>
          <w:tcPr>
            <w:tcW w:w="10488" w:type="dxa"/>
            <w:gridSpan w:val="9"/>
            <w:shd w:val="clear" w:color="auto" w:fill="FFFFFF"/>
            <w:tcMar>
              <w:top w:w="57" w:type="dxa"/>
              <w:left w:w="85" w:type="dxa"/>
              <w:bottom w:w="57" w:type="dxa"/>
              <w:right w:w="85" w:type="dxa"/>
            </w:tcMar>
            <w:vAlign w:val="center"/>
          </w:tcPr>
          <w:p>
            <w:pPr>
              <w:jc w:val="center"/>
              <w:rPr>
                <w:rFonts w:ascii="Times New Roman" w:hAnsi="Times New Roman" w:eastAsia="黑体"/>
                <w:bCs/>
                <w:spacing w:val="-3"/>
                <w:sz w:val="24"/>
                <w:u w:val="single"/>
              </w:rPr>
            </w:pPr>
            <w:r>
              <w:rPr>
                <w:rFonts w:ascii="Times New Roman" w:hAnsi="Times New Roman" w:eastAsia="黑体"/>
                <w:bCs/>
                <w:spacing w:val="-3"/>
                <w:sz w:val="24"/>
                <w:u w:val="thick"/>
              </w:rPr>
              <w:t>基本规范性审查</w:t>
            </w:r>
          </w:p>
          <w:p>
            <w:pPr>
              <w:spacing w:before="159" w:beforeLines="50" w:after="159" w:afterLines="50"/>
              <w:jc w:val="left"/>
              <w:rPr>
                <w:rFonts w:ascii="Times New Roman" w:hAnsi="Times New Roman" w:eastAsia="黑体"/>
                <w:bCs/>
                <w:szCs w:val="21"/>
              </w:rPr>
            </w:pPr>
            <w:r>
              <w:rPr>
                <w:rFonts w:ascii="Times New Roman" w:hAnsi="Times New Roman" w:eastAsia="黑体"/>
                <w:bCs/>
                <w:szCs w:val="21"/>
              </w:rPr>
              <w:t>1.如果提交了相关资料则勾选“是”，如果不做要求则勾选“不适用”，如未能提供则勾选“否”。</w:t>
            </w:r>
          </w:p>
          <w:p>
            <w:pPr>
              <w:rPr>
                <w:rFonts w:ascii="Times New Roman" w:hAnsi="Times New Roman" w:eastAsia="黑体"/>
                <w:bCs/>
                <w:spacing w:val="-3"/>
                <w:sz w:val="24"/>
                <w:u w:val="single"/>
              </w:rPr>
            </w:pPr>
            <w:r>
              <w:rPr>
                <w:rFonts w:ascii="Times New Roman" w:hAnsi="Times New Roman" w:eastAsia="黑体"/>
                <w:bCs/>
                <w:szCs w:val="21"/>
              </w:rPr>
              <w:t>2.对任何问题回答“否”都会导致做出“立卷审查不通过”的决定。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67" w:hRule="atLeast"/>
          <w:jc w:val="center"/>
        </w:trPr>
        <w:tc>
          <w:tcPr>
            <w:tcW w:w="658"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序号</w:t>
            </w:r>
          </w:p>
        </w:tc>
        <w:tc>
          <w:tcPr>
            <w:tcW w:w="5539" w:type="dxa"/>
            <w:gridSpan w:val="3"/>
            <w:shd w:val="clear" w:color="auto" w:fill="FFFFFF"/>
            <w:vAlign w:val="center"/>
          </w:tcPr>
          <w:p>
            <w:pPr>
              <w:jc w:val="center"/>
              <w:rPr>
                <w:rFonts w:ascii="Times New Roman" w:hAnsi="Times New Roman" w:eastAsia="黑体"/>
                <w:szCs w:val="21"/>
              </w:rPr>
            </w:pPr>
            <w:r>
              <w:rPr>
                <w:rFonts w:ascii="Times New Roman" w:hAnsi="Times New Roman" w:eastAsia="黑体"/>
                <w:bCs/>
                <w:szCs w:val="21"/>
              </w:rPr>
              <w:t>立卷审查问题</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是</w:t>
            </w:r>
          </w:p>
        </w:tc>
        <w:tc>
          <w:tcPr>
            <w:tcW w:w="843" w:type="dxa"/>
            <w:shd w:val="clear" w:color="auto" w:fill="FFFFFF"/>
            <w:vAlign w:val="center"/>
          </w:tcPr>
          <w:p>
            <w:pPr>
              <w:jc w:val="center"/>
              <w:rPr>
                <w:rFonts w:ascii="Times New Roman" w:hAnsi="Times New Roman" w:eastAsia="黑体"/>
                <w:szCs w:val="21"/>
              </w:rPr>
            </w:pPr>
            <w:r>
              <w:rPr>
                <w:rFonts w:ascii="Times New Roman" w:hAnsi="Times New Roman" w:eastAsia="黑体"/>
                <w:bCs/>
                <w:szCs w:val="21"/>
              </w:rPr>
              <w:t>不适用</w:t>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否</w:t>
            </w:r>
          </w:p>
        </w:tc>
        <w:tc>
          <w:tcPr>
            <w:tcW w:w="1073" w:type="dxa"/>
            <w:shd w:val="clear" w:color="auto" w:fill="FFFFFF"/>
            <w:vAlign w:val="center"/>
          </w:tcPr>
          <w:p>
            <w:pPr>
              <w:jc w:val="center"/>
              <w:rPr>
                <w:rFonts w:ascii="Times New Roman" w:hAnsi="Times New Roman" w:eastAsia="黑体"/>
                <w:bCs/>
                <w:szCs w:val="21"/>
              </w:rPr>
            </w:pPr>
            <w:r>
              <w:rPr>
                <w:rFonts w:ascii="Times New Roman" w:hAnsi="Times New Roman" w:eastAsia="黑体"/>
                <w:bCs/>
                <w:szCs w:val="21"/>
              </w:rPr>
              <w:t>备注</w:t>
            </w:r>
          </w:p>
        </w:tc>
        <w:tc>
          <w:tcPr>
            <w:tcW w:w="1125" w:type="dxa"/>
            <w:shd w:val="clear" w:color="auto" w:fill="FFFFFF"/>
            <w:vAlign w:val="center"/>
          </w:tcPr>
          <w:p>
            <w:pPr>
              <w:pStyle w:val="7"/>
              <w:adjustRightInd w:val="0"/>
              <w:snapToGrid w:val="0"/>
              <w:spacing w:before="47" w:beforeLines="15" w:line="276" w:lineRule="auto"/>
              <w:jc w:val="center"/>
              <w:rPr>
                <w:rFonts w:ascii="Times New Roman" w:hAnsi="Times New Roman" w:eastAsia="黑体"/>
                <w:color w:val="0070C0"/>
                <w:sz w:val="21"/>
                <w:szCs w:val="21"/>
              </w:rPr>
            </w:pPr>
            <w:r>
              <w:rPr>
                <w:rFonts w:ascii="Times New Roman" w:hAnsi="Times New Roman" w:eastAsia="黑体"/>
                <w:bCs/>
                <w:kern w:val="2"/>
                <w:sz w:val="21"/>
                <w:szCs w:val="21"/>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252" w:hRule="atLeast"/>
          <w:jc w:val="center"/>
        </w:trPr>
        <w:tc>
          <w:tcPr>
            <w:tcW w:w="658"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1</w:t>
            </w: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提交了临床试验方案。</w:t>
            </w:r>
          </w:p>
          <w:p>
            <w:pPr>
              <w:rPr>
                <w:rFonts w:ascii="Times New Roman" w:hAnsi="Times New Roman" w:eastAsia="仿宋_GB2312"/>
                <w:i/>
                <w:iCs/>
                <w:szCs w:val="21"/>
              </w:rPr>
            </w:pPr>
          </w:p>
          <w:p>
            <w:pPr>
              <w:rPr>
                <w:rFonts w:ascii="Times New Roman" w:hAnsi="Times New Roman" w:eastAsia="仿宋_GB2312"/>
                <w:szCs w:val="21"/>
              </w:rPr>
            </w:pPr>
            <w:r>
              <w:rPr>
                <w:rFonts w:ascii="Times New Roman" w:hAnsi="Times New Roman" w:eastAsia="仿宋_GB2312"/>
                <w:i/>
                <w:iCs/>
                <w:szCs w:val="21"/>
              </w:rPr>
              <w:t>注：若回答为“否”，则不需要对技术审查问题中的A、B、F进行回答。</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2</w:t>
            </w: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提交了临床试验报告。</w:t>
            </w:r>
          </w:p>
          <w:p>
            <w:pPr>
              <w:rPr>
                <w:rFonts w:ascii="Times New Roman" w:hAnsi="Times New Roman" w:eastAsia="仿宋_GB2312"/>
                <w:i/>
                <w:iCs/>
                <w:szCs w:val="21"/>
              </w:rPr>
            </w:pPr>
          </w:p>
          <w:p>
            <w:pPr>
              <w:rPr>
                <w:rFonts w:ascii="Times New Roman" w:hAnsi="Times New Roman" w:eastAsia="仿宋_GB2312"/>
                <w:szCs w:val="21"/>
              </w:rPr>
            </w:pPr>
            <w:r>
              <w:rPr>
                <w:rFonts w:ascii="Times New Roman" w:hAnsi="Times New Roman" w:eastAsia="仿宋_GB2312"/>
                <w:i/>
                <w:iCs/>
                <w:szCs w:val="21"/>
              </w:rPr>
              <w:t>注：若回答为“否”，则不需要对技术审查问题中的C、F进行回答。</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516" w:hRule="atLeast"/>
          <w:jc w:val="center"/>
        </w:trPr>
        <w:tc>
          <w:tcPr>
            <w:tcW w:w="658"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3</w:t>
            </w: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多中心临床试验的临床试验报告包含了各分中心的临床试验小结。</w:t>
            </w:r>
          </w:p>
          <w:p>
            <w:pPr>
              <w:rPr>
                <w:rFonts w:ascii="Times New Roman" w:hAnsi="Times New Roman" w:eastAsia="仿宋_GB2312"/>
                <w:i/>
                <w:szCs w:val="21"/>
              </w:rPr>
            </w:pPr>
          </w:p>
          <w:p>
            <w:pPr>
              <w:rPr>
                <w:rFonts w:ascii="Times New Roman" w:hAnsi="Times New Roman" w:eastAsia="仿宋_GB2312"/>
                <w:szCs w:val="21"/>
              </w:rPr>
            </w:pPr>
            <w:r>
              <w:rPr>
                <w:rFonts w:ascii="Times New Roman" w:hAnsi="Times New Roman" w:eastAsia="仿宋_GB2312"/>
                <w:i/>
                <w:szCs w:val="21"/>
              </w:rPr>
              <w:t>注：若回答为“否”，则不需要对技术审查问题中的D进行回答。</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681" w:hRule="atLeast"/>
          <w:jc w:val="center"/>
        </w:trPr>
        <w:tc>
          <w:tcPr>
            <w:tcW w:w="658"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4</w:t>
            </w: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提交了临床试验机构伦理委员会同意开展临床试验的书面意见。</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763" w:hRule="atLeast"/>
          <w:jc w:val="center"/>
        </w:trPr>
        <w:tc>
          <w:tcPr>
            <w:tcW w:w="658"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5</w:t>
            </w: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color w:val="000000"/>
                <w:szCs w:val="21"/>
              </w:rPr>
              <w:t>提交了知情同意书样本，版本号及版本日期应与伦理审查意见批准的版本一致。</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0" w:hRule="atLeast"/>
          <w:jc w:val="center"/>
        </w:trPr>
        <w:tc>
          <w:tcPr>
            <w:tcW w:w="658"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6</w:t>
            </w: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提交了临床试验数据库。</w:t>
            </w:r>
          </w:p>
          <w:p>
            <w:pPr>
              <w:rPr>
                <w:rFonts w:ascii="Times New Roman" w:hAnsi="Times New Roman" w:eastAsia="仿宋_GB2312"/>
                <w:i/>
                <w:iCs/>
                <w:szCs w:val="21"/>
              </w:rPr>
            </w:pPr>
          </w:p>
          <w:p>
            <w:pPr>
              <w:rPr>
                <w:rFonts w:ascii="Times New Roman" w:hAnsi="Times New Roman" w:eastAsia="仿宋_GB2312"/>
                <w:szCs w:val="21"/>
              </w:rPr>
            </w:pPr>
            <w:r>
              <w:rPr>
                <w:rFonts w:ascii="Times New Roman" w:hAnsi="Times New Roman" w:eastAsia="仿宋_GB2312"/>
                <w:i/>
                <w:iCs/>
                <w:szCs w:val="21"/>
              </w:rPr>
              <w:t>注：若回答为“否”，则不需要对技术审查问题中的G进行回答。</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071" w:hRule="atLeast"/>
          <w:jc w:val="center"/>
        </w:trPr>
        <w:tc>
          <w:tcPr>
            <w:tcW w:w="658"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7</w:t>
            </w: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属于《需进行临床试验审批的第三类医疗器械目录》内产品的，（全部或部分）在境内开展临床试验的，可证明通过了临床试验审批，并在获得批准后3年内实施临床试验。</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21" w:hRule="atLeast"/>
          <w:jc w:val="center"/>
        </w:trPr>
        <w:tc>
          <w:tcPr>
            <w:tcW w:w="658"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8</w:t>
            </w: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境内开展的临床试验，临床试验机构已按规定备案。</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34" w:hRule="atLeast"/>
          <w:jc w:val="center"/>
        </w:trPr>
        <w:tc>
          <w:tcPr>
            <w:tcW w:w="658"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9</w:t>
            </w: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境内临床试验开展之前，已经具备产品检验合格报告。</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10488" w:type="dxa"/>
            <w:gridSpan w:val="9"/>
            <w:shd w:val="clear" w:color="auto" w:fill="FFFFFF"/>
            <w:tcMar>
              <w:top w:w="57" w:type="dxa"/>
              <w:left w:w="85" w:type="dxa"/>
              <w:bottom w:w="57" w:type="dxa"/>
              <w:right w:w="85" w:type="dxa"/>
            </w:tcMar>
            <w:vAlign w:val="center"/>
          </w:tcPr>
          <w:p/>
          <w:p>
            <w:pPr>
              <w:jc w:val="center"/>
              <w:rPr>
                <w:rFonts w:ascii="Times New Roman" w:hAnsi="Times New Roman" w:eastAsia="黑体"/>
                <w:bCs/>
                <w:spacing w:val="-3"/>
                <w:sz w:val="24"/>
                <w:u w:val="single"/>
              </w:rPr>
            </w:pPr>
            <w:r>
              <w:rPr>
                <w:rFonts w:ascii="Times New Roman" w:hAnsi="Times New Roman" w:eastAsia="黑体"/>
                <w:bCs/>
                <w:spacing w:val="-3"/>
                <w:sz w:val="24"/>
                <w:u w:val="thick"/>
              </w:rPr>
              <w:t>立卷审查问题</w:t>
            </w:r>
          </w:p>
          <w:p>
            <w:pPr>
              <w:spacing w:before="159" w:beforeLines="50" w:after="159" w:afterLines="50"/>
              <w:jc w:val="left"/>
              <w:rPr>
                <w:rFonts w:ascii="Times New Roman" w:hAnsi="Times New Roman" w:eastAsia="黑体"/>
                <w:bCs/>
                <w:szCs w:val="21"/>
              </w:rPr>
            </w:pPr>
            <w:r>
              <w:rPr>
                <w:rFonts w:ascii="Times New Roman" w:hAnsi="Times New Roman" w:eastAsia="黑体"/>
                <w:bCs/>
                <w:szCs w:val="21"/>
              </w:rPr>
              <w:t>1.如果提交了相关资料则勾选“是”，如果不做要求则勾选“不适用”，如未能提供则勾选“否”。</w:t>
            </w:r>
          </w:p>
          <w:p>
            <w:pPr>
              <w:rPr>
                <w:rFonts w:ascii="Times New Roman" w:hAnsi="Times New Roman" w:eastAsia="黑体"/>
                <w:bCs/>
                <w:spacing w:val="-3"/>
                <w:sz w:val="24"/>
                <w:u w:val="single"/>
              </w:rPr>
            </w:pPr>
            <w:r>
              <w:rPr>
                <w:rFonts w:ascii="Times New Roman" w:hAnsi="Times New Roman" w:eastAsia="黑体"/>
                <w:bCs/>
                <w:szCs w:val="21"/>
              </w:rPr>
              <w:t>2.对任何问题回答“否”都会导致做出“立卷审查不通过”的决定。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67" w:hRule="atLeast"/>
          <w:jc w:val="center"/>
        </w:trPr>
        <w:tc>
          <w:tcPr>
            <w:tcW w:w="658"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szCs w:val="21"/>
              </w:rPr>
              <w:t>序号</w:t>
            </w:r>
          </w:p>
        </w:tc>
        <w:tc>
          <w:tcPr>
            <w:tcW w:w="5539" w:type="dxa"/>
            <w:gridSpan w:val="3"/>
            <w:shd w:val="clear" w:color="auto" w:fill="FFFFFF"/>
            <w:vAlign w:val="center"/>
          </w:tcPr>
          <w:p>
            <w:pPr>
              <w:jc w:val="center"/>
              <w:rPr>
                <w:rFonts w:ascii="Times New Roman" w:hAnsi="Times New Roman" w:eastAsia="黑体"/>
                <w:szCs w:val="21"/>
              </w:rPr>
            </w:pPr>
            <w:r>
              <w:rPr>
                <w:rFonts w:ascii="Times New Roman" w:hAnsi="Times New Roman" w:eastAsia="黑体"/>
                <w:bCs/>
                <w:szCs w:val="21"/>
              </w:rPr>
              <w:t>立卷审查问题</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是</w:t>
            </w:r>
          </w:p>
        </w:tc>
        <w:tc>
          <w:tcPr>
            <w:tcW w:w="843" w:type="dxa"/>
            <w:shd w:val="clear" w:color="auto" w:fill="FFFFFF"/>
            <w:vAlign w:val="center"/>
          </w:tcPr>
          <w:p>
            <w:pPr>
              <w:jc w:val="center"/>
              <w:rPr>
                <w:rFonts w:ascii="Times New Roman" w:hAnsi="Times New Roman" w:eastAsia="黑体"/>
                <w:szCs w:val="21"/>
              </w:rPr>
            </w:pPr>
            <w:r>
              <w:rPr>
                <w:rFonts w:ascii="Times New Roman" w:hAnsi="Times New Roman" w:eastAsia="黑体"/>
                <w:bCs/>
                <w:szCs w:val="21"/>
              </w:rPr>
              <w:t>不适用</w:t>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否</w:t>
            </w:r>
          </w:p>
        </w:tc>
        <w:tc>
          <w:tcPr>
            <w:tcW w:w="1073" w:type="dxa"/>
            <w:shd w:val="clear" w:color="auto" w:fill="FFFFFF"/>
            <w:vAlign w:val="center"/>
          </w:tcPr>
          <w:p>
            <w:pPr>
              <w:jc w:val="center"/>
              <w:rPr>
                <w:rFonts w:ascii="Times New Roman" w:hAnsi="Times New Roman" w:eastAsia="黑体"/>
                <w:bCs/>
                <w:szCs w:val="21"/>
              </w:rPr>
            </w:pPr>
            <w:r>
              <w:rPr>
                <w:rFonts w:ascii="Times New Roman" w:hAnsi="Times New Roman" w:eastAsia="黑体"/>
                <w:bCs/>
                <w:szCs w:val="21"/>
              </w:rPr>
              <w:t>备注</w:t>
            </w:r>
          </w:p>
        </w:tc>
        <w:tc>
          <w:tcPr>
            <w:tcW w:w="1125" w:type="dxa"/>
            <w:shd w:val="clear" w:color="auto" w:fill="FFFFFF"/>
            <w:vAlign w:val="center"/>
          </w:tcPr>
          <w:p>
            <w:pPr>
              <w:pStyle w:val="7"/>
              <w:adjustRightInd w:val="0"/>
              <w:snapToGrid w:val="0"/>
              <w:spacing w:before="47" w:beforeLines="15" w:line="276" w:lineRule="auto"/>
              <w:jc w:val="center"/>
              <w:rPr>
                <w:rFonts w:ascii="Times New Roman" w:hAnsi="Times New Roman" w:eastAsia="黑体"/>
                <w:bCs/>
                <w:szCs w:val="21"/>
              </w:rPr>
            </w:pPr>
            <w:r>
              <w:rPr>
                <w:rFonts w:ascii="Times New Roman" w:hAnsi="Times New Roman" w:eastAsia="黑体"/>
                <w:bCs/>
                <w:kern w:val="2"/>
                <w:sz w:val="21"/>
                <w:szCs w:val="21"/>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25" w:hRule="atLeast"/>
          <w:jc w:val="center"/>
        </w:trPr>
        <w:tc>
          <w:tcPr>
            <w:tcW w:w="658" w:type="dxa"/>
            <w:vMerge w:val="restart"/>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szCs w:val="21"/>
              </w:rPr>
              <w:t>A</w:t>
            </w:r>
          </w:p>
        </w:tc>
        <w:tc>
          <w:tcPr>
            <w:tcW w:w="8705" w:type="dxa"/>
            <w:gridSpan w:val="7"/>
            <w:shd w:val="clear" w:color="auto" w:fill="FFFFFF"/>
            <w:vAlign w:val="center"/>
          </w:tcPr>
          <w:p>
            <w:pPr>
              <w:rPr>
                <w:rFonts w:ascii="Times New Roman" w:hAnsi="Times New Roman" w:eastAsia="仿宋_GB2312"/>
                <w:bCs/>
                <w:kern w:val="0"/>
                <w:szCs w:val="21"/>
              </w:rPr>
            </w:pPr>
            <w:r>
              <w:rPr>
                <w:rFonts w:ascii="Times New Roman" w:hAnsi="Times New Roman" w:eastAsia="仿宋_GB2312"/>
                <w:szCs w:val="21"/>
              </w:rPr>
              <w:t>临床试验方案内容：</w:t>
            </w:r>
          </w:p>
        </w:tc>
        <w:tc>
          <w:tcPr>
            <w:tcW w:w="1125" w:type="dxa"/>
            <w:shd w:val="clear" w:color="auto" w:fill="FFFFFF"/>
          </w:tcPr>
          <w:p>
            <w:pPr>
              <w:jc w:val="center"/>
              <w:rPr>
                <w:rFonts w:ascii="Times New Roman" w:hAnsi="Times New Roman" w:eastAsia="黑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835" w:hRule="atLeast"/>
          <w:jc w:val="center"/>
        </w:trPr>
        <w:tc>
          <w:tcPr>
            <w:tcW w:w="658" w:type="dxa"/>
            <w:vMerge w:val="continue"/>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p>
        </w:tc>
        <w:tc>
          <w:tcPr>
            <w:tcW w:w="5539" w:type="dxa"/>
            <w:gridSpan w:val="3"/>
            <w:shd w:val="clear" w:color="auto" w:fill="FFFFFF"/>
            <w:vAlign w:val="center"/>
          </w:tcPr>
          <w:p>
            <w:pPr>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临床试验方案中</w:t>
            </w:r>
            <w:r>
              <w:rPr>
                <w:rFonts w:ascii="Times New Roman" w:hAnsi="Times New Roman" w:eastAsia="仿宋_GB2312"/>
                <w:color w:val="000000"/>
                <w:szCs w:val="21"/>
              </w:rPr>
              <w:t>内容</w:t>
            </w:r>
            <w:r>
              <w:rPr>
                <w:rFonts w:ascii="Times New Roman" w:hAnsi="Times New Roman" w:eastAsia="仿宋_GB2312"/>
                <w:szCs w:val="21"/>
              </w:rPr>
              <w:t>应与《医疗器械临床试验质量管理规范》中相关内容保持一致；</w:t>
            </w:r>
          </w:p>
          <w:p>
            <w:pPr>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虽然未包含所有内容，但对于未包含内容已提交了</w:t>
            </w:r>
            <w:r>
              <w:rPr>
                <w:rFonts w:ascii="Times New Roman" w:hAnsi="Times New Roman" w:eastAsia="仿宋_GB2312"/>
                <w:b/>
                <w:szCs w:val="21"/>
              </w:rPr>
              <w:t>基本合理</w:t>
            </w:r>
            <w:r>
              <w:rPr>
                <w:rFonts w:ascii="Times New Roman" w:hAnsi="Times New Roman" w:eastAsia="仿宋_GB2312"/>
                <w:szCs w:val="21"/>
              </w:rPr>
              <w:t>的说明。</w:t>
            </w:r>
          </w:p>
          <w:p>
            <w:pPr>
              <w:rPr>
                <w:rFonts w:ascii="Times New Roman" w:hAnsi="Times New Roman" w:eastAsia="仿宋_GB2312"/>
                <w:i/>
                <w:iCs/>
                <w:szCs w:val="21"/>
              </w:rPr>
            </w:pPr>
          </w:p>
          <w:p>
            <w:pPr>
              <w:rPr>
                <w:rFonts w:ascii="Times New Roman" w:hAnsi="Times New Roman"/>
              </w:rPr>
            </w:pPr>
            <w:r>
              <w:rPr>
                <w:rFonts w:ascii="Times New Roman" w:hAnsi="Times New Roman" w:eastAsia="仿宋_GB2312"/>
                <w:i/>
                <w:iCs/>
                <w:szCs w:val="21"/>
              </w:rPr>
              <w:t>注：以上有一条勾选，本项目应选择“是”。</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黑体"/>
                <w:bCs/>
                <w:szCs w:val="21"/>
              </w:rPr>
            </w:pPr>
            <w:r>
              <w:rPr>
                <w:rFonts w:ascii="Times New Roman" w:hAnsi="Times New Roman" w:eastAsia="仿宋_GB2312"/>
                <w:szCs w:val="21"/>
              </w:rPr>
              <w:sym w:font="Wingdings 2" w:char="F0A3"/>
            </w:r>
          </w:p>
        </w:tc>
        <w:tc>
          <w:tcPr>
            <w:tcW w:w="843" w:type="dxa"/>
            <w:shd w:val="clear" w:color="auto" w:fill="FFFFFF"/>
            <w:vAlign w:val="center"/>
          </w:tcPr>
          <w:p>
            <w:pPr>
              <w:jc w:val="center"/>
              <w:rPr>
                <w:rFonts w:ascii="Times New Roman" w:hAnsi="Times New Roman" w:eastAsia="黑体"/>
                <w:bCs/>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黑体"/>
                <w:bCs/>
                <w:szCs w:val="21"/>
              </w:rPr>
            </w:pPr>
            <w:r>
              <w:rPr>
                <w:rFonts w:ascii="Times New Roman" w:hAnsi="Times New Roman" w:eastAsia="仿宋_GB2312"/>
                <w:szCs w:val="21"/>
              </w:rPr>
              <w:sym w:font="Wingdings 2" w:char="F0A3"/>
            </w:r>
          </w:p>
        </w:tc>
        <w:tc>
          <w:tcPr>
            <w:tcW w:w="1073" w:type="dxa"/>
            <w:shd w:val="clear" w:color="auto" w:fill="FFFFFF"/>
            <w:vAlign w:val="center"/>
          </w:tcPr>
          <w:p>
            <w:pPr>
              <w:jc w:val="center"/>
              <w:rPr>
                <w:rFonts w:ascii="Times New Roman" w:hAnsi="Times New Roman" w:eastAsia="黑体"/>
                <w:bCs/>
                <w:kern w:val="0"/>
                <w:szCs w:val="21"/>
              </w:rPr>
            </w:pPr>
          </w:p>
        </w:tc>
        <w:tc>
          <w:tcPr>
            <w:tcW w:w="1125" w:type="dxa"/>
            <w:shd w:val="clear" w:color="auto" w:fill="FFFFFF"/>
          </w:tcPr>
          <w:p>
            <w:pPr>
              <w:jc w:val="center"/>
              <w:rPr>
                <w:rFonts w:ascii="Times New Roman" w:hAnsi="Times New Roman" w:eastAsia="黑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821" w:hRule="atLeast"/>
          <w:jc w:val="center"/>
        </w:trPr>
        <w:tc>
          <w:tcPr>
            <w:tcW w:w="658" w:type="dxa"/>
            <w:vMerge w:val="continue"/>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p>
        </w:tc>
        <w:tc>
          <w:tcPr>
            <w:tcW w:w="5539" w:type="dxa"/>
            <w:gridSpan w:val="3"/>
            <w:shd w:val="clear" w:color="auto" w:fill="FFFFFF"/>
            <w:vAlign w:val="center"/>
          </w:tcPr>
          <w:p>
            <w:pPr>
              <w:rPr>
                <w:rFonts w:ascii="Times New Roman" w:hAnsi="Times New Roman" w:eastAsia="黑体"/>
                <w:bCs/>
                <w:szCs w:val="21"/>
              </w:rPr>
            </w:pPr>
            <w:r>
              <w:rPr>
                <w:rFonts w:ascii="Times New Roman" w:hAnsi="Times New Roman" w:eastAsia="仿宋_GB2312"/>
                <w:szCs w:val="21"/>
              </w:rPr>
              <w:t>临床试验方案应按照《医疗器械临床试验质量管理规范》相关要求进行签字、签章。</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黑体"/>
                <w:bCs/>
                <w:szCs w:val="21"/>
              </w:rPr>
            </w:pPr>
            <w:r>
              <w:rPr>
                <w:rFonts w:ascii="Times New Roman" w:hAnsi="Times New Roman" w:eastAsia="仿宋_GB2312"/>
                <w:szCs w:val="21"/>
              </w:rPr>
              <w:sym w:font="Wingdings 2" w:char="F0A3"/>
            </w:r>
          </w:p>
        </w:tc>
        <w:tc>
          <w:tcPr>
            <w:tcW w:w="843" w:type="dxa"/>
            <w:shd w:val="clear" w:color="auto" w:fill="FFFFFF"/>
            <w:vAlign w:val="center"/>
          </w:tcPr>
          <w:p>
            <w:pPr>
              <w:jc w:val="center"/>
              <w:rPr>
                <w:rFonts w:ascii="Times New Roman" w:hAnsi="Times New Roman" w:eastAsia="黑体"/>
                <w:bCs/>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黑体"/>
                <w:bCs/>
                <w:szCs w:val="21"/>
              </w:rPr>
            </w:pPr>
            <w:r>
              <w:rPr>
                <w:rFonts w:ascii="Times New Roman" w:hAnsi="Times New Roman" w:eastAsia="仿宋_GB2312"/>
                <w:szCs w:val="21"/>
              </w:rPr>
              <w:sym w:font="Wingdings 2" w:char="F0A3"/>
            </w:r>
          </w:p>
        </w:tc>
        <w:tc>
          <w:tcPr>
            <w:tcW w:w="1073" w:type="dxa"/>
            <w:shd w:val="clear" w:color="auto" w:fill="FFFFFF"/>
            <w:vAlign w:val="center"/>
          </w:tcPr>
          <w:p>
            <w:pPr>
              <w:jc w:val="center"/>
              <w:rPr>
                <w:rFonts w:ascii="Times New Roman" w:hAnsi="Times New Roman" w:eastAsia="黑体"/>
                <w:bCs/>
                <w:kern w:val="0"/>
                <w:szCs w:val="21"/>
              </w:rPr>
            </w:pPr>
          </w:p>
        </w:tc>
        <w:tc>
          <w:tcPr>
            <w:tcW w:w="1125" w:type="dxa"/>
            <w:shd w:val="clear" w:color="auto" w:fill="FFFFFF"/>
          </w:tcPr>
          <w:p>
            <w:pPr>
              <w:jc w:val="center"/>
              <w:rPr>
                <w:rFonts w:ascii="Times New Roman" w:hAnsi="Times New Roman" w:eastAsia="黑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restart"/>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w:t>
            </w: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B1</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明确了试验设计的基本类型（平行对照设计、配对设计、交叉设计、单组设计等）。</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vMerge w:val="restart"/>
            <w:shd w:val="clear" w:color="auto" w:fill="FFFFFF"/>
            <w:vAlign w:val="center"/>
          </w:tcPr>
          <w:p>
            <w:pPr>
              <w:rPr>
                <w:rFonts w:ascii="Times New Roman" w:hAnsi="Times New Roman" w:eastAsia="仿宋_GB2312"/>
                <w:color w:val="0070C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B2</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明确了是否为随机。</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B3</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明确了是否设盲。</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73" w:hRule="atLeast"/>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B4</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明确了对照的相关信息及对照选择的原因。</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B5</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与目标值比较的单组设计明确了目标值设定依据。</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B6</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明确了主要及次要评价指标。</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B7</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如为对照设计，明确了比较类型（优效性检验、等效性检验、非劣效性检验）。</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54" w:hRule="atLeast"/>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B8</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明确了非劣效/优效/等效界值。</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54" w:hRule="atLeast"/>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B9</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明确了检验假设。</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54" w:hRule="atLeast"/>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B10</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明确了样本量估算。</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54" w:hRule="atLeast"/>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B11</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明确了入组标准/排除组标准。</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54" w:hRule="atLeast"/>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B12</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明确了各评价指标的观察时间。</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54" w:hRule="atLeast"/>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B13</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明确了统计分析方法。</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vMerge w:val="continue"/>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54" w:hRule="atLeast"/>
          <w:jc w:val="center"/>
        </w:trPr>
        <w:tc>
          <w:tcPr>
            <w:tcW w:w="658" w:type="dxa"/>
            <w:vMerge w:val="restart"/>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C</w:t>
            </w:r>
          </w:p>
        </w:tc>
        <w:tc>
          <w:tcPr>
            <w:tcW w:w="8705" w:type="dxa"/>
            <w:gridSpan w:val="7"/>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临床试验报告内容：</w:t>
            </w: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711" w:hRule="atLeast"/>
          <w:jc w:val="center"/>
        </w:trPr>
        <w:tc>
          <w:tcPr>
            <w:tcW w:w="658" w:type="dxa"/>
            <w:vMerge w:val="continue"/>
            <w:shd w:val="clear" w:color="auto" w:fill="FFFFFF"/>
            <w:tcMar>
              <w:top w:w="57" w:type="dxa"/>
              <w:left w:w="85" w:type="dxa"/>
              <w:bottom w:w="57" w:type="dxa"/>
              <w:right w:w="85" w:type="dxa"/>
            </w:tcMar>
          </w:tcPr>
          <w:p>
            <w:pPr>
              <w:jc w:val="center"/>
              <w:rPr>
                <w:rFonts w:ascii="Times New Roman" w:hAnsi="Times New Roman" w:eastAsia="仿宋_GB2312"/>
                <w:szCs w:val="21"/>
              </w:rPr>
            </w:pP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临床试验报告中内容应与《医疗器械临床试验质量管理规范》中相关内容保持一致；</w:t>
            </w:r>
          </w:p>
          <w:p>
            <w:pPr>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虽然未包含所有内容，但对于未包含内容已提交了</w:t>
            </w:r>
            <w:r>
              <w:rPr>
                <w:rFonts w:ascii="Times New Roman" w:hAnsi="Times New Roman" w:eastAsia="仿宋_GB2312"/>
                <w:b/>
                <w:bCs/>
                <w:szCs w:val="21"/>
              </w:rPr>
              <w:t>基本合理</w:t>
            </w:r>
            <w:r>
              <w:rPr>
                <w:rFonts w:ascii="Times New Roman" w:hAnsi="Times New Roman" w:eastAsia="仿宋_GB2312"/>
                <w:szCs w:val="21"/>
              </w:rPr>
              <w:t>的说明。</w:t>
            </w:r>
          </w:p>
          <w:p>
            <w:pPr>
              <w:rPr>
                <w:rFonts w:ascii="Times New Roman" w:hAnsi="Times New Roman" w:eastAsia="仿宋_GB2312"/>
                <w:i/>
                <w:iCs/>
                <w:szCs w:val="21"/>
              </w:rPr>
            </w:pPr>
          </w:p>
          <w:p>
            <w:pPr>
              <w:rPr>
                <w:rFonts w:ascii="Times New Roman" w:hAnsi="Times New Roman" w:eastAsia="仿宋_GB2312"/>
                <w:szCs w:val="21"/>
              </w:rPr>
            </w:pPr>
            <w:r>
              <w:rPr>
                <w:rFonts w:ascii="Times New Roman" w:hAnsi="Times New Roman" w:eastAsia="仿宋_GB2312"/>
                <w:i/>
                <w:iCs/>
                <w:szCs w:val="21"/>
              </w:rPr>
              <w:t>注：以上有一条勾选，本项目应选择“是”。</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810" w:hRule="atLeast"/>
          <w:jc w:val="center"/>
        </w:trPr>
        <w:tc>
          <w:tcPr>
            <w:tcW w:w="658" w:type="dxa"/>
            <w:vMerge w:val="continue"/>
            <w:shd w:val="clear" w:color="auto" w:fill="FFFFFF"/>
            <w:tcMar>
              <w:top w:w="57" w:type="dxa"/>
              <w:left w:w="85" w:type="dxa"/>
              <w:bottom w:w="57" w:type="dxa"/>
              <w:right w:w="85" w:type="dxa"/>
            </w:tcMar>
          </w:tcPr>
          <w:p>
            <w:pPr>
              <w:jc w:val="center"/>
              <w:rPr>
                <w:rFonts w:ascii="Times New Roman" w:hAnsi="Times New Roman" w:eastAsia="仿宋_GB2312"/>
                <w:szCs w:val="21"/>
              </w:rPr>
            </w:pP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临床试验报告应按照《医疗器械临床试验质量管理规范》相关要求进行签字、签章。</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54" w:hRule="atLeast"/>
          <w:jc w:val="center"/>
        </w:trPr>
        <w:tc>
          <w:tcPr>
            <w:tcW w:w="658" w:type="dxa"/>
            <w:vMerge w:val="restart"/>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D</w:t>
            </w:r>
          </w:p>
        </w:tc>
        <w:tc>
          <w:tcPr>
            <w:tcW w:w="8705" w:type="dxa"/>
            <w:gridSpan w:val="7"/>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临床试验小结内容：</w:t>
            </w: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54" w:hRule="atLeast"/>
          <w:jc w:val="center"/>
        </w:trPr>
        <w:tc>
          <w:tcPr>
            <w:tcW w:w="658" w:type="dxa"/>
            <w:vMerge w:val="continue"/>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各分中心小结中</w:t>
            </w:r>
            <w:r>
              <w:rPr>
                <w:rFonts w:ascii="Times New Roman" w:hAnsi="Times New Roman" w:eastAsia="仿宋_GB2312"/>
                <w:color w:val="000000"/>
                <w:szCs w:val="21"/>
              </w:rPr>
              <w:t>内容</w:t>
            </w:r>
            <w:r>
              <w:rPr>
                <w:rFonts w:ascii="Times New Roman" w:hAnsi="Times New Roman" w:eastAsia="仿宋_GB2312"/>
                <w:szCs w:val="21"/>
              </w:rPr>
              <w:t>应与《医疗器械临床试验质量管理规范》中相关内容保持一致；</w:t>
            </w:r>
          </w:p>
          <w:p>
            <w:pPr>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虽然未包含所有内容，但对于未包含内容已提交了</w:t>
            </w:r>
            <w:r>
              <w:rPr>
                <w:rFonts w:ascii="Times New Roman" w:hAnsi="Times New Roman" w:eastAsia="仿宋_GB2312"/>
                <w:b/>
                <w:szCs w:val="21"/>
              </w:rPr>
              <w:t>基本合理</w:t>
            </w:r>
            <w:r>
              <w:rPr>
                <w:rFonts w:ascii="Times New Roman" w:hAnsi="Times New Roman" w:eastAsia="仿宋_GB2312"/>
                <w:szCs w:val="21"/>
              </w:rPr>
              <w:t>的说明。</w:t>
            </w:r>
          </w:p>
          <w:p>
            <w:pPr>
              <w:rPr>
                <w:rFonts w:ascii="Times New Roman" w:hAnsi="Times New Roman" w:eastAsia="仿宋_GB2312"/>
                <w:szCs w:val="21"/>
              </w:rPr>
            </w:pPr>
          </w:p>
          <w:p>
            <w:r>
              <w:rPr>
                <w:rFonts w:ascii="Times New Roman" w:hAnsi="Times New Roman" w:eastAsia="仿宋_GB2312"/>
                <w:i/>
                <w:iCs/>
                <w:szCs w:val="21"/>
              </w:rPr>
              <w:t>注：以上有一条勾选，本项目应选择“是”。</w:t>
            </w:r>
          </w:p>
          <w:p>
            <w:pPr>
              <w:jc w:val="left"/>
              <w:rPr>
                <w:rFonts w:ascii="Times New Roman" w:hAnsi="Times New Roman" w:eastAsia="仿宋_GB2312"/>
                <w:szCs w:val="21"/>
              </w:rPr>
            </w:pPr>
          </w:p>
        </w:tc>
        <w:tc>
          <w:tcPr>
            <w:tcW w:w="616" w:type="dxa"/>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vAlign w:val="center"/>
          </w:tcPr>
          <w:p>
            <w:pP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856" w:hRule="atLeast"/>
          <w:jc w:val="center"/>
        </w:trPr>
        <w:tc>
          <w:tcPr>
            <w:tcW w:w="658" w:type="dxa"/>
            <w:vMerge w:val="continue"/>
            <w:shd w:val="clear" w:color="auto" w:fill="FFFFFF"/>
            <w:tcMar>
              <w:top w:w="57" w:type="dxa"/>
              <w:left w:w="85" w:type="dxa"/>
              <w:bottom w:w="57" w:type="dxa"/>
              <w:right w:w="85" w:type="dxa"/>
            </w:tcMar>
          </w:tcPr>
          <w:p>
            <w:pPr>
              <w:jc w:val="center"/>
              <w:rPr>
                <w:rFonts w:ascii="Times New Roman" w:hAnsi="Times New Roman" w:eastAsia="仿宋_GB2312"/>
                <w:szCs w:val="21"/>
              </w:rPr>
            </w:pPr>
          </w:p>
        </w:tc>
        <w:tc>
          <w:tcPr>
            <w:tcW w:w="5539" w:type="dxa"/>
            <w:gridSpan w:val="3"/>
            <w:shd w:val="clear" w:color="auto" w:fill="FFFFFF"/>
            <w:tcMar>
              <w:top w:w="57" w:type="dxa"/>
              <w:left w:w="85" w:type="dxa"/>
              <w:bottom w:w="57" w:type="dxa"/>
              <w:right w:w="85" w:type="dxa"/>
            </w:tcMar>
            <w:vAlign w:val="center"/>
          </w:tcPr>
          <w:p>
            <w:r>
              <w:rPr>
                <w:rFonts w:ascii="Times New Roman" w:hAnsi="Times New Roman" w:eastAsia="仿宋_GB2312"/>
                <w:szCs w:val="21"/>
              </w:rPr>
              <w:t>临床试验小结应按照《医疗器械临床试验质量管理规范》相关要求进行签字、签章。</w:t>
            </w:r>
          </w:p>
          <w:p>
            <w:pPr>
              <w:jc w:val="left"/>
              <w:rPr>
                <w:rFonts w:ascii="Times New Roman" w:hAnsi="Times New Roman" w:eastAsia="仿宋_GB2312"/>
                <w:szCs w:val="21"/>
              </w:rPr>
            </w:pPr>
          </w:p>
        </w:tc>
        <w:tc>
          <w:tcPr>
            <w:tcW w:w="616" w:type="dxa"/>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vAlign w:val="center"/>
          </w:tcPr>
          <w:p>
            <w:pP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452" w:hRule="atLeast"/>
          <w:jc w:val="center"/>
        </w:trPr>
        <w:tc>
          <w:tcPr>
            <w:tcW w:w="658"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E</w:t>
            </w:r>
          </w:p>
        </w:tc>
        <w:tc>
          <w:tcPr>
            <w:tcW w:w="5539"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属于《需进行临床试验审批的第三类医疗器械目录》内产品的，（全部或部分）在境内开展临床试验的，临床试验方案与审批时方案及审批意见一致；或虽然不一致，但申请人/注册人</w:t>
            </w:r>
            <w:r>
              <w:rPr>
                <w:rFonts w:ascii="Times New Roman" w:hAnsi="Times New Roman" w:eastAsia="仿宋_GB2312"/>
                <w:b/>
                <w:szCs w:val="21"/>
              </w:rPr>
              <w:t>基本合理</w:t>
            </w:r>
            <w:r>
              <w:rPr>
                <w:rFonts w:ascii="Times New Roman" w:hAnsi="Times New Roman" w:eastAsia="仿宋_GB2312"/>
                <w:szCs w:val="21"/>
              </w:rPr>
              <w:t>地阐述了理由。</w:t>
            </w:r>
          </w:p>
        </w:tc>
        <w:tc>
          <w:tcPr>
            <w:tcW w:w="616" w:type="dxa"/>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vAlign w:val="center"/>
          </w:tcPr>
          <w:p>
            <w:pP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171" w:hRule="atLeast"/>
          <w:jc w:val="center"/>
        </w:trPr>
        <w:tc>
          <w:tcPr>
            <w:tcW w:w="658" w:type="dxa"/>
            <w:vMerge w:val="restart"/>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F</w:t>
            </w:r>
          </w:p>
        </w:tc>
        <w:tc>
          <w:tcPr>
            <w:tcW w:w="8705" w:type="dxa"/>
            <w:gridSpan w:val="7"/>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临床试验报告与临床试验方案的一致性。</w:t>
            </w:r>
          </w:p>
          <w:p>
            <w:pPr>
              <w:rPr>
                <w:rFonts w:ascii="Times New Roman" w:hAnsi="Times New Roman" w:eastAsia="仿宋_GB2312"/>
                <w:i/>
                <w:iCs/>
                <w:szCs w:val="21"/>
              </w:rPr>
            </w:pPr>
          </w:p>
          <w:p>
            <w:pPr>
              <w:rPr>
                <w:rFonts w:ascii="Times New Roman" w:hAnsi="Times New Roman" w:eastAsia="仿宋_GB2312"/>
                <w:szCs w:val="21"/>
              </w:rPr>
            </w:pPr>
            <w:r>
              <w:rPr>
                <w:rFonts w:ascii="Times New Roman" w:hAnsi="Times New Roman" w:eastAsia="仿宋_GB2312"/>
                <w:i/>
                <w:iCs/>
                <w:szCs w:val="21"/>
              </w:rPr>
              <w:t>注：下列问题，若临床试验报告与临床试验方案虽然不一致，但申请人/注册人基本合理地阐述了理由，也判定为“是”。</w:t>
            </w:r>
          </w:p>
        </w:tc>
        <w:tc>
          <w:tcPr>
            <w:tcW w:w="1125" w:type="dxa"/>
            <w:shd w:val="clear" w:color="auto" w:fill="FFFFFF"/>
          </w:tcPr>
          <w:p>
            <w:pP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F1</w:t>
            </w:r>
          </w:p>
        </w:tc>
        <w:tc>
          <w:tcPr>
            <w:tcW w:w="5009" w:type="dxa"/>
            <w:gridSpan w:val="2"/>
            <w:shd w:val="clear" w:color="auto" w:fill="FFFFFF"/>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研究设计</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F2</w:t>
            </w:r>
          </w:p>
        </w:tc>
        <w:tc>
          <w:tcPr>
            <w:tcW w:w="5009" w:type="dxa"/>
            <w:gridSpan w:val="2"/>
            <w:shd w:val="clear" w:color="auto" w:fill="FFFFFF"/>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检验假设</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F3</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样本量/患者入组并完成研究的人数（主要终点时间范围内的可评价患者人数）</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F4</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研究人群/入排标准</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F5</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主要评价指标</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F6</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主要评价指标的观察时间</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0" w:hRule="atLeast"/>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F7</w:t>
            </w:r>
          </w:p>
        </w:tc>
        <w:tc>
          <w:tcPr>
            <w:tcW w:w="5009" w:type="dxa"/>
            <w:gridSpan w:val="2"/>
            <w:shd w:val="clear" w:color="auto" w:fill="FFFFFF"/>
            <w:tcMar>
              <w:top w:w="57" w:type="dxa"/>
              <w:left w:w="85" w:type="dxa"/>
              <w:bottom w:w="57" w:type="dxa"/>
              <w:right w:w="85" w:type="dxa"/>
            </w:tcMar>
          </w:tcPr>
          <w:p>
            <w:pPr>
              <w:rPr>
                <w:rFonts w:ascii="Times New Roman" w:hAnsi="Times New Roman"/>
              </w:rPr>
            </w:pPr>
            <w:r>
              <w:rPr>
                <w:rFonts w:ascii="Times New Roman" w:hAnsi="Times New Roman" w:eastAsia="仿宋_GB2312"/>
                <w:szCs w:val="21"/>
              </w:rPr>
              <w:t>基于主要评价指标的评价</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vMerge w:val="restart"/>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F8</w:t>
            </w:r>
          </w:p>
        </w:tc>
        <w:tc>
          <w:tcPr>
            <w:tcW w:w="5009" w:type="dxa"/>
            <w:gridSpan w:val="2"/>
            <w:shd w:val="clear" w:color="auto" w:fill="FFFFFF"/>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统计学分析</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382" w:type="dxa"/>
            <w:shd w:val="clear" w:color="auto" w:fill="FFFFFF"/>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a.</w:t>
            </w:r>
          </w:p>
        </w:tc>
        <w:tc>
          <w:tcPr>
            <w:tcW w:w="4627" w:type="dxa"/>
            <w:shd w:val="clear" w:color="auto" w:fill="FFFFFF"/>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有效性分析</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382" w:type="dxa"/>
            <w:shd w:val="clear" w:color="auto" w:fill="FFFFFF"/>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b.</w:t>
            </w:r>
          </w:p>
        </w:tc>
        <w:tc>
          <w:tcPr>
            <w:tcW w:w="4627" w:type="dxa"/>
            <w:shd w:val="clear" w:color="auto" w:fill="FFFFFF"/>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安全性分析</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restart"/>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G</w:t>
            </w:r>
          </w:p>
        </w:tc>
        <w:tc>
          <w:tcPr>
            <w:tcW w:w="5539" w:type="dxa"/>
            <w:gridSpan w:val="3"/>
            <w:shd w:val="clear" w:color="auto" w:fill="FFFFFF"/>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提交了原始数据库。</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5539" w:type="dxa"/>
            <w:gridSpan w:val="3"/>
            <w:shd w:val="clear" w:color="auto" w:fill="FFFFFF"/>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提交了分析数据库。</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5539" w:type="dxa"/>
            <w:gridSpan w:val="3"/>
            <w:shd w:val="clear" w:color="auto" w:fill="FFFFFF"/>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提交了程序代码。</w:t>
            </w:r>
          </w:p>
          <w:p>
            <w:pPr>
              <w:rPr>
                <w:rFonts w:ascii="Times New Roman" w:hAnsi="Times New Roman" w:eastAsia="仿宋_GB2312"/>
                <w:i/>
                <w:iCs/>
                <w:szCs w:val="21"/>
              </w:rPr>
            </w:pPr>
          </w:p>
          <w:p>
            <w:pPr>
              <w:rPr>
                <w:rFonts w:ascii="Times New Roman" w:hAnsi="Times New Roman" w:eastAsia="仿宋_GB2312"/>
                <w:szCs w:val="21"/>
              </w:rPr>
            </w:pPr>
            <w:r>
              <w:rPr>
                <w:rFonts w:ascii="Times New Roman" w:hAnsi="Times New Roman" w:eastAsia="仿宋_GB2312"/>
                <w:i/>
                <w:iCs/>
                <w:szCs w:val="21"/>
              </w:rPr>
              <w:t>注：至少包括原始数据库形成分析数据库、分析数据库生成统计结果的程序代码。</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5539" w:type="dxa"/>
            <w:gridSpan w:val="3"/>
            <w:shd w:val="clear" w:color="auto" w:fill="FFFFFF"/>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提交了说明性文件。</w:t>
            </w:r>
          </w:p>
          <w:p>
            <w:pPr>
              <w:rPr>
                <w:rFonts w:ascii="Times New Roman" w:hAnsi="Times New Roman" w:eastAsia="仿宋_GB2312"/>
                <w:i/>
                <w:iCs/>
                <w:szCs w:val="21"/>
              </w:rPr>
            </w:pPr>
          </w:p>
          <w:p>
            <w:pPr>
              <w:rPr>
                <w:rFonts w:ascii="Times New Roman" w:hAnsi="Times New Roman" w:eastAsia="仿宋_GB2312"/>
                <w:szCs w:val="21"/>
              </w:rPr>
            </w:pPr>
            <w:r>
              <w:rPr>
                <w:rFonts w:ascii="Times New Roman" w:hAnsi="Times New Roman" w:eastAsia="仿宋_GB2312"/>
                <w:i/>
                <w:iCs/>
                <w:szCs w:val="21"/>
              </w:rPr>
              <w:t>注：至少包括变量说明性文件、程序代码使用说明文件、注释CRF表。</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20" w:hRule="atLeast"/>
          <w:jc w:val="center"/>
        </w:trPr>
        <w:tc>
          <w:tcPr>
            <w:tcW w:w="658" w:type="dxa"/>
            <w:vMerge w:val="restart"/>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H</w:t>
            </w:r>
          </w:p>
        </w:tc>
        <w:tc>
          <w:tcPr>
            <w:tcW w:w="8705" w:type="dxa"/>
            <w:gridSpan w:val="7"/>
            <w:shd w:val="clear" w:color="auto" w:fill="FFFFFF"/>
            <w:tcMar>
              <w:top w:w="57" w:type="dxa"/>
              <w:left w:w="85" w:type="dxa"/>
              <w:bottom w:w="57" w:type="dxa"/>
              <w:right w:w="85" w:type="dxa"/>
            </w:tcMar>
          </w:tcPr>
          <w:p>
            <w:pPr>
              <w:jc w:val="left"/>
              <w:rPr>
                <w:rFonts w:ascii="Times New Roman" w:hAnsi="Times New Roman" w:eastAsia="仿宋_GB2312"/>
                <w:szCs w:val="21"/>
              </w:rPr>
            </w:pPr>
            <w:r>
              <w:rPr>
                <w:rFonts w:ascii="Times New Roman" w:hAnsi="Times New Roman" w:eastAsia="仿宋_GB2312"/>
                <w:szCs w:val="21"/>
              </w:rPr>
              <w:t>如果研究包含境外临床试验数据：</w:t>
            </w:r>
          </w:p>
        </w:tc>
        <w:tc>
          <w:tcPr>
            <w:tcW w:w="1125" w:type="dxa"/>
            <w:shd w:val="clear" w:color="auto" w:fill="FFFFFF"/>
          </w:tcPr>
          <w:p>
            <w:pPr>
              <w:jc w:val="left"/>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H1</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如果研究包含境外临床试验数据，申请人/注册人提供了该数据适用于中国患者人群的论证。</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H2</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申请人/注册人说明了境外临床试验在有临床试验质量管理的国家（地区）开展。</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H3</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明确了境外临床试验所符合的临床试验质量管理文件与“医疗器械临床试验质量管理规范”是否存在差异。</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0" w:hRule="atLeast"/>
          <w:jc w:val="center"/>
        </w:trPr>
        <w:tc>
          <w:tcPr>
            <w:tcW w:w="658"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H4</w:t>
            </w:r>
          </w:p>
        </w:tc>
        <w:tc>
          <w:tcPr>
            <w:tcW w:w="5009" w:type="dxa"/>
            <w:gridSpan w:val="2"/>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临床试验所符合的临床试验质量管理文件与“医疗器械临床试验质量管理规范”有差异的，说明了差异内容，并对差异内容不影响研究结果的真实性、科学性、可靠性及可追溯性且能够保障受试者权益的原因进行了论证。</w:t>
            </w:r>
          </w:p>
        </w:tc>
        <w:tc>
          <w:tcPr>
            <w:tcW w:w="61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pPr>
              <w:jc w:val="center"/>
              <w:rPr>
                <w:rFonts w:ascii="Times New Roman" w:hAnsi="Times New Roman" w:eastAsia="仿宋_GB2312"/>
                <w:szCs w:val="21"/>
              </w:rPr>
            </w:pPr>
          </w:p>
        </w:tc>
        <w:tc>
          <w:tcPr>
            <w:tcW w:w="1125" w:type="dxa"/>
            <w:shd w:val="clear" w:color="auto" w:fill="FFFFFF"/>
          </w:tcPr>
          <w:p>
            <w:pPr>
              <w:jc w:val="center"/>
              <w:rPr>
                <w:rFonts w:ascii="Times New Roman" w:hAnsi="Times New Roman" w:eastAsia="仿宋_GB2312"/>
                <w:szCs w:val="21"/>
              </w:rPr>
            </w:pPr>
          </w:p>
        </w:tc>
      </w:tr>
    </w:tbl>
    <w:p>
      <w:pPr>
        <w:overflowPunct w:val="0"/>
        <w:spacing w:before="319" w:beforeLines="100" w:after="319" w:afterLines="100" w:line="560" w:lineRule="exact"/>
        <w:rPr>
          <w:rFonts w:hint="eastAsia"/>
        </w:rPr>
      </w:pPr>
    </w:p>
    <w:sectPr>
      <w:pgSz w:w="11906" w:h="16838"/>
      <w:pgMar w:top="1928" w:right="1531" w:bottom="1814" w:left="1531" w:header="851" w:footer="1361"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59510" cy="230505"/>
              <wp:effectExtent l="0" t="3810" r="0" b="3810"/>
              <wp:wrapNone/>
              <wp:docPr id="1"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wps:spPr>
                    <wps:txbx>
                      <w:txbxContent>
                        <w:p>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3" o:spid="_x0000_s1026" o:spt="202" type="#_x0000_t202" style="position:absolute;left:0pt;margin-top:0pt;height:18.15pt;width:91.3pt;mso-position-horizontal:outside;mso-position-horizontal-relative:margin;mso-wrap-style:none;z-index:251659264;mso-width-relative:page;mso-height-relative:page;" filled="f" stroked="f" coordsize="21600,21600" o:gfxdata="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kLIS3RAAAABAEAAA8AAAAAAAAAAQAgAAAAIgAAAGRycy9k&#10;b3ducmV2LnhtbFBLAQIUABQAAAAIAIdO4kD0c7oECQIAAAQEAAAOAAAAAAAAAAEAIAAAACABAABk&#10;cnMvZTJvRG9jLnhtbFBLBQYAAAAABgAGAFkBAACbBQAAAAA=&#10;">
              <v:fill on="f" focussize="0,0"/>
              <v:stroke on="f"/>
              <v:imagedata o:title=""/>
              <o:lock v:ext="edit" aspectratio="f"/>
              <v:textbox inset="0mm,0mm,0mm,0mm" style="mso-fit-shape-to-text:t;">
                <w:txbxContent>
                  <w:p>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00245036"/>
    <w:rsid w:val="0096079B"/>
    <w:rsid w:val="00AF58D0"/>
    <w:rsid w:val="00BD28D7"/>
    <w:rsid w:val="00D22A9C"/>
    <w:rsid w:val="00F5156A"/>
    <w:rsid w:val="00F6489D"/>
    <w:rsid w:val="185C5DFC"/>
    <w:rsid w:val="3EAB0813"/>
    <w:rsid w:val="B5B4B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
    <w:name w:val="Table Paragraph"/>
    <w:basedOn w:val="1"/>
    <w:qFormat/>
    <w:uiPriority w:val="1"/>
    <w:pPr>
      <w:jc w:val="left"/>
    </w:pPr>
    <w:rPr>
      <w:kern w:val="0"/>
      <w:sz w:val="22"/>
      <w:szCs w:val="22"/>
    </w:rPr>
  </w:style>
  <w:style w:type="paragraph" w:styleId="8">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3669</Words>
  <Characters>3728</Characters>
  <Lines>31</Lines>
  <Paragraphs>8</Paragraphs>
  <TotalTime>1</TotalTime>
  <ScaleCrop>false</ScaleCrop>
  <LinksUpToDate>false</LinksUpToDate>
  <CharactersWithSpaces>3756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2022-08-31T08:32:00Z</dcterms:created>
  <dc:creator>Administrator</dc:creator>
  <cp:lastModifiedBy>王红梅</cp:lastModifiedBy>
  <dcterms:modified xsi:type="dcterms:W3CDTF">2022-09-07T06:51:08Z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CC6D4A32DDBE4D41969BB8F5CF35045F</vt:lpwstr>
  </property>
</Properties>
</file>